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688" w:rsidRPr="00BB47FE" w:rsidRDefault="00D21688" w:rsidP="00D779AB">
      <w:pPr>
        <w:spacing w:before="100" w:beforeAutospacing="1" w:after="100" w:afterAutospacing="1" w:line="360" w:lineRule="auto"/>
        <w:jc w:val="center"/>
        <w:outlineLvl w:val="0"/>
        <w:rPr>
          <w:rFonts w:ascii="Times New Roman" w:eastAsia="Times New Roman" w:hAnsi="Times New Roman" w:cs="Times New Roman"/>
          <w:b/>
          <w:bCs/>
          <w:kern w:val="36"/>
          <w:sz w:val="28"/>
          <w:szCs w:val="24"/>
        </w:rPr>
      </w:pPr>
      <w:r w:rsidRPr="00BB47FE">
        <w:rPr>
          <w:rFonts w:ascii="Times New Roman" w:eastAsia="Times New Roman" w:hAnsi="Times New Roman" w:cs="Times New Roman"/>
          <w:b/>
          <w:bCs/>
          <w:kern w:val="36"/>
          <w:sz w:val="28"/>
          <w:szCs w:val="24"/>
        </w:rPr>
        <w:t xml:space="preserve">Learning with </w:t>
      </w:r>
      <w:proofErr w:type="spellStart"/>
      <w:r w:rsidRPr="00BB47FE">
        <w:rPr>
          <w:rFonts w:ascii="Times New Roman" w:eastAsia="Times New Roman" w:hAnsi="Times New Roman" w:cs="Times New Roman"/>
          <w:b/>
          <w:bCs/>
          <w:kern w:val="36"/>
          <w:sz w:val="28"/>
          <w:szCs w:val="24"/>
        </w:rPr>
        <w:t>GenAI</w:t>
      </w:r>
      <w:proofErr w:type="spellEnd"/>
      <w:r w:rsidRPr="00BB47FE">
        <w:rPr>
          <w:rFonts w:ascii="Times New Roman" w:eastAsia="Times New Roman" w:hAnsi="Times New Roman" w:cs="Times New Roman"/>
          <w:b/>
          <w:bCs/>
          <w:kern w:val="36"/>
          <w:sz w:val="28"/>
          <w:szCs w:val="24"/>
        </w:rPr>
        <w:t>: Effective Use in EFL Classrooms</w:t>
      </w:r>
    </w:p>
    <w:p w:rsidR="00D21688" w:rsidRPr="00CC5A3D" w:rsidRDefault="00D21688" w:rsidP="00D779AB">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t>Abstract</w:t>
      </w:r>
    </w:p>
    <w:p w:rsidR="00BD4887" w:rsidRPr="00CC5A3D" w:rsidRDefault="00BD4887" w:rsidP="00D779AB">
      <w:pPr>
        <w:spacing w:before="100" w:beforeAutospacing="1" w:after="100" w:afterAutospacing="1" w:line="360" w:lineRule="auto"/>
        <w:jc w:val="both"/>
        <w:rPr>
          <w:rFonts w:ascii="Times New Roman" w:hAnsi="Times New Roman" w:cs="Times New Roman"/>
          <w:sz w:val="24"/>
          <w:szCs w:val="24"/>
        </w:rPr>
      </w:pPr>
      <w:r w:rsidRPr="00CC5A3D">
        <w:rPr>
          <w:rFonts w:ascii="Times New Roman" w:hAnsi="Times New Roman" w:cs="Times New Roman"/>
          <w:sz w:val="24"/>
          <w:szCs w:val="24"/>
        </w:rPr>
        <w:t>Generative artificial intelligence (</w:t>
      </w:r>
      <w:proofErr w:type="spellStart"/>
      <w:r w:rsidRPr="00CC5A3D">
        <w:rPr>
          <w:rFonts w:ascii="Times New Roman" w:hAnsi="Times New Roman" w:cs="Times New Roman"/>
          <w:sz w:val="24"/>
          <w:szCs w:val="24"/>
        </w:rPr>
        <w:t>GenAI</w:t>
      </w:r>
      <w:proofErr w:type="spellEnd"/>
      <w:r w:rsidRPr="00CC5A3D">
        <w:rPr>
          <w:rFonts w:ascii="Times New Roman" w:hAnsi="Times New Roman" w:cs="Times New Roman"/>
          <w:sz w:val="24"/>
          <w:szCs w:val="24"/>
        </w:rPr>
        <w:t xml:space="preserve">) is increasingly used in language education, but its value depends on whether it supports learning or replaces the work students need to do themselves. This study explored how university EFL teachers in Vietnam viewed the effective and responsible use of </w:t>
      </w:r>
      <w:proofErr w:type="spellStart"/>
      <w:r w:rsidRPr="00CC5A3D">
        <w:rPr>
          <w:rFonts w:ascii="Times New Roman" w:hAnsi="Times New Roman" w:cs="Times New Roman"/>
          <w:sz w:val="24"/>
          <w:szCs w:val="24"/>
        </w:rPr>
        <w:t>GenAI</w:t>
      </w:r>
      <w:proofErr w:type="spellEnd"/>
      <w:r w:rsidRPr="00CC5A3D">
        <w:rPr>
          <w:rFonts w:ascii="Times New Roman" w:hAnsi="Times New Roman" w:cs="Times New Roman"/>
          <w:sz w:val="24"/>
          <w:szCs w:val="24"/>
        </w:rPr>
        <w:t xml:space="preserve"> in language-learning activities. Data were collected through semi-structured interviews with 15 teachers from three universities. The interviews were </w:t>
      </w:r>
      <w:proofErr w:type="spellStart"/>
      <w:r w:rsidRPr="00CC5A3D">
        <w:rPr>
          <w:rFonts w:ascii="Times New Roman" w:hAnsi="Times New Roman" w:cs="Times New Roman"/>
          <w:sz w:val="24"/>
          <w:szCs w:val="24"/>
        </w:rPr>
        <w:t>organised</w:t>
      </w:r>
      <w:proofErr w:type="spellEnd"/>
      <w:r w:rsidRPr="00CC5A3D">
        <w:rPr>
          <w:rFonts w:ascii="Times New Roman" w:hAnsi="Times New Roman" w:cs="Times New Roman"/>
          <w:sz w:val="24"/>
          <w:szCs w:val="24"/>
        </w:rPr>
        <w:t xml:space="preserve"> around six tasks involving vocabulary, grammar, writing feedback, idea generation, reading comprehension, and speaking practice. The data were </w:t>
      </w:r>
      <w:proofErr w:type="spellStart"/>
      <w:r w:rsidRPr="00CC5A3D">
        <w:rPr>
          <w:rFonts w:ascii="Times New Roman" w:hAnsi="Times New Roman" w:cs="Times New Roman"/>
          <w:sz w:val="24"/>
          <w:szCs w:val="24"/>
        </w:rPr>
        <w:t>analysed</w:t>
      </w:r>
      <w:proofErr w:type="spellEnd"/>
      <w:r w:rsidRPr="00CC5A3D">
        <w:rPr>
          <w:rFonts w:ascii="Times New Roman" w:hAnsi="Times New Roman" w:cs="Times New Roman"/>
          <w:sz w:val="24"/>
          <w:szCs w:val="24"/>
        </w:rPr>
        <w:t xml:space="preserve"> using reflexive thematic analysis. The findings showed that teachers perceived </w:t>
      </w:r>
      <w:proofErr w:type="spellStart"/>
      <w:r w:rsidRPr="00CC5A3D">
        <w:rPr>
          <w:rFonts w:ascii="Times New Roman" w:hAnsi="Times New Roman" w:cs="Times New Roman"/>
          <w:sz w:val="24"/>
          <w:szCs w:val="24"/>
        </w:rPr>
        <w:t>GenAI</w:t>
      </w:r>
      <w:proofErr w:type="spellEnd"/>
      <w:r w:rsidRPr="00CC5A3D">
        <w:rPr>
          <w:rFonts w:ascii="Times New Roman" w:hAnsi="Times New Roman" w:cs="Times New Roman"/>
          <w:sz w:val="24"/>
          <w:szCs w:val="24"/>
        </w:rPr>
        <w:t xml:space="preserve"> as offering both analytical support, such as explaining language and adapting texts, and generative support through feedback, brainstorming, and simulated interaction. However, its usefulness varied according to the task, the learner’s level, and the extent to which students remained involved in making decisions. Teachers proposed three main scaffolding strategies: guiding students to write purposeful prompts, requiring them to evaluate AI-generated responses, and encouraging them to document and reflect on their use of AI. Five principles for responsible use were also identified: human agency, transparency, verification, data privacy, and task differentiation. The study suggests that neither complete prohibition nor unrestricted use provides an adequate response to </w:t>
      </w:r>
      <w:proofErr w:type="spellStart"/>
      <w:r w:rsidRPr="00CC5A3D">
        <w:rPr>
          <w:rFonts w:ascii="Times New Roman" w:hAnsi="Times New Roman" w:cs="Times New Roman"/>
          <w:sz w:val="24"/>
          <w:szCs w:val="24"/>
        </w:rPr>
        <w:t>GenAI</w:t>
      </w:r>
      <w:proofErr w:type="spellEnd"/>
      <w:r w:rsidRPr="00CC5A3D">
        <w:rPr>
          <w:rFonts w:ascii="Times New Roman" w:hAnsi="Times New Roman" w:cs="Times New Roman"/>
          <w:sz w:val="24"/>
          <w:szCs w:val="24"/>
        </w:rPr>
        <w:t>. A teacher-guided approach may allow students to benefit from AI support while continuing to think and produce language independently.</w:t>
      </w:r>
    </w:p>
    <w:p w:rsidR="00DA1452" w:rsidRPr="00CC5A3D" w:rsidRDefault="00DA1452" w:rsidP="00D779AB">
      <w:pPr>
        <w:spacing w:before="100" w:beforeAutospacing="1" w:after="100" w:afterAutospacing="1" w:line="360" w:lineRule="auto"/>
        <w:jc w:val="both"/>
        <w:rPr>
          <w:rFonts w:ascii="Times New Roman" w:eastAsia="Times New Roman" w:hAnsi="Times New Roman" w:cs="Times New Roman"/>
          <w:i/>
          <w:sz w:val="24"/>
          <w:szCs w:val="24"/>
        </w:rPr>
      </w:pPr>
      <w:r w:rsidRPr="00CC5A3D">
        <w:rPr>
          <w:rFonts w:ascii="Times New Roman" w:eastAsia="Times New Roman" w:hAnsi="Times New Roman" w:cs="Times New Roman"/>
          <w:b/>
          <w:bCs/>
          <w:sz w:val="24"/>
          <w:szCs w:val="24"/>
        </w:rPr>
        <w:t>Keywords:</w:t>
      </w:r>
      <w:r w:rsidRPr="00CC5A3D">
        <w:rPr>
          <w:rFonts w:ascii="Times New Roman" w:eastAsia="Times New Roman" w:hAnsi="Times New Roman" w:cs="Times New Roman"/>
          <w:sz w:val="24"/>
          <w:szCs w:val="24"/>
        </w:rPr>
        <w:t xml:space="preserve"> </w:t>
      </w:r>
      <w:r w:rsidR="00584F92" w:rsidRPr="00CC5A3D">
        <w:rPr>
          <w:rFonts w:ascii="Times New Roman" w:eastAsia="Times New Roman" w:hAnsi="Times New Roman" w:cs="Times New Roman"/>
          <w:sz w:val="24"/>
          <w:szCs w:val="24"/>
        </w:rPr>
        <w:t xml:space="preserve">Generative AI, EFL learning, teacher guidance, responsible AI use, </w:t>
      </w:r>
      <w:r w:rsidRPr="00CC5A3D">
        <w:rPr>
          <w:rFonts w:ascii="Times New Roman" w:eastAsia="Times New Roman" w:hAnsi="Times New Roman" w:cs="Times New Roman"/>
          <w:sz w:val="24"/>
          <w:szCs w:val="24"/>
        </w:rPr>
        <w:t>English language classrooms</w:t>
      </w:r>
      <w:r w:rsidR="00584F92" w:rsidRPr="00CC5A3D">
        <w:rPr>
          <w:rFonts w:ascii="Times New Roman" w:eastAsia="Times New Roman" w:hAnsi="Times New Roman" w:cs="Times New Roman"/>
          <w:sz w:val="24"/>
          <w:szCs w:val="24"/>
        </w:rPr>
        <w:t>,</w:t>
      </w:r>
      <w:r w:rsidRPr="00CC5A3D">
        <w:rPr>
          <w:rFonts w:ascii="Times New Roman" w:eastAsia="Times New Roman" w:hAnsi="Times New Roman" w:cs="Times New Roman"/>
          <w:sz w:val="24"/>
          <w:szCs w:val="24"/>
        </w:rPr>
        <w:t xml:space="preserve"> AI-enhanced language education.</w:t>
      </w:r>
    </w:p>
    <w:p w:rsidR="00D21688" w:rsidRPr="00CC5A3D" w:rsidRDefault="00D21688" w:rsidP="00D779AB">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t>1. Introduction</w:t>
      </w:r>
    </w:p>
    <w:p w:rsidR="00D21688" w:rsidRPr="00CC5A3D" w:rsidRDefault="00D21688" w:rsidP="00D779A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t>1.1 Background</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Generative artificial intelligence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has become increasingly common in education. Tools such as </w:t>
      </w:r>
      <w:proofErr w:type="spellStart"/>
      <w:r w:rsidRPr="00CC5A3D">
        <w:rPr>
          <w:rFonts w:ascii="Times New Roman" w:eastAsia="Times New Roman" w:hAnsi="Times New Roman" w:cs="Times New Roman"/>
          <w:sz w:val="24"/>
          <w:szCs w:val="24"/>
        </w:rPr>
        <w:t>ChatGPT</w:t>
      </w:r>
      <w:proofErr w:type="spellEnd"/>
      <w:r w:rsidRPr="00CC5A3D">
        <w:rPr>
          <w:rFonts w:ascii="Times New Roman" w:eastAsia="Times New Roman" w:hAnsi="Times New Roman" w:cs="Times New Roman"/>
          <w:sz w:val="24"/>
          <w:szCs w:val="24"/>
        </w:rPr>
        <w:t>, Gemini, and Claude can answer questions, explain concepts, generate examples, and provide feedback within seconds. Unlike conventional search engines, these tools allow users to ask follow-up questions and request responses suited to a particular purpose or language level (</w:t>
      </w:r>
      <w:proofErr w:type="spellStart"/>
      <w:r w:rsidRPr="00CC5A3D">
        <w:rPr>
          <w:rFonts w:ascii="Times New Roman" w:eastAsia="Times New Roman" w:hAnsi="Times New Roman" w:cs="Times New Roman"/>
          <w:sz w:val="24"/>
          <w:szCs w:val="24"/>
        </w:rPr>
        <w:t>Kohnke</w:t>
      </w:r>
      <w:proofErr w:type="spellEnd"/>
      <w:r w:rsidRPr="00CC5A3D">
        <w:rPr>
          <w:rFonts w:ascii="Times New Roman" w:eastAsia="Times New Roman" w:hAnsi="Times New Roman" w:cs="Times New Roman"/>
          <w:sz w:val="24"/>
          <w:szCs w:val="24"/>
        </w:rPr>
        <w:t xml:space="preserve"> et al., 2023a; Law, 2024). This flexibility has made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an accessible source of support for university students.</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has particular potential in English as a Foreign Language (EFL) education, where learners need regular practice, feedback, and exposure to language. Students can use it to explore vocabulary, clarify </w:t>
      </w:r>
      <w:r w:rsidRPr="00CC5A3D">
        <w:rPr>
          <w:rFonts w:ascii="Times New Roman" w:eastAsia="Times New Roman" w:hAnsi="Times New Roman" w:cs="Times New Roman"/>
          <w:sz w:val="24"/>
          <w:szCs w:val="24"/>
        </w:rPr>
        <w:lastRenderedPageBreak/>
        <w:t xml:space="preserve">grammar, generate ideas, receive feedback on writing, simplify difficult texts, or </w:t>
      </w:r>
      <w:proofErr w:type="spellStart"/>
      <w:r w:rsidRPr="00CC5A3D">
        <w:rPr>
          <w:rFonts w:ascii="Times New Roman" w:eastAsia="Times New Roman" w:hAnsi="Times New Roman" w:cs="Times New Roman"/>
          <w:sz w:val="24"/>
          <w:szCs w:val="24"/>
        </w:rPr>
        <w:t>practise</w:t>
      </w:r>
      <w:proofErr w:type="spellEnd"/>
      <w:r w:rsidRPr="00CC5A3D">
        <w:rPr>
          <w:rFonts w:ascii="Times New Roman" w:eastAsia="Times New Roman" w:hAnsi="Times New Roman" w:cs="Times New Roman"/>
          <w:sz w:val="24"/>
          <w:szCs w:val="24"/>
        </w:rPr>
        <w:t xml:space="preserve"> conversations. Previous research has linked these uses to benefits such as immediate feedback, </w:t>
      </w:r>
      <w:proofErr w:type="spellStart"/>
      <w:r w:rsidRPr="00CC5A3D">
        <w:rPr>
          <w:rFonts w:ascii="Times New Roman" w:eastAsia="Times New Roman" w:hAnsi="Times New Roman" w:cs="Times New Roman"/>
          <w:sz w:val="24"/>
          <w:szCs w:val="24"/>
        </w:rPr>
        <w:t>personalised</w:t>
      </w:r>
      <w:proofErr w:type="spellEnd"/>
      <w:r w:rsidRPr="00CC5A3D">
        <w:rPr>
          <w:rFonts w:ascii="Times New Roman" w:eastAsia="Times New Roman" w:hAnsi="Times New Roman" w:cs="Times New Roman"/>
          <w:sz w:val="24"/>
          <w:szCs w:val="24"/>
        </w:rPr>
        <w:t xml:space="preserve"> support, and additional opportunities for practice (</w:t>
      </w:r>
      <w:proofErr w:type="spellStart"/>
      <w:r w:rsidRPr="00CC5A3D">
        <w:rPr>
          <w:rFonts w:ascii="Times New Roman" w:eastAsia="Times New Roman" w:hAnsi="Times New Roman" w:cs="Times New Roman"/>
          <w:sz w:val="24"/>
          <w:szCs w:val="24"/>
        </w:rPr>
        <w:t>Kohnke</w:t>
      </w:r>
      <w:proofErr w:type="spellEnd"/>
      <w:r w:rsidRPr="00CC5A3D">
        <w:rPr>
          <w:rFonts w:ascii="Times New Roman" w:eastAsia="Times New Roman" w:hAnsi="Times New Roman" w:cs="Times New Roman"/>
          <w:sz w:val="24"/>
          <w:szCs w:val="24"/>
        </w:rPr>
        <w:t xml:space="preserve"> et al., 2023a; Law, 2024; Lo et al., 2024). This support may be especially useful in large classes, where teachers cannot always respond to every student individually.</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However,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can support learning or replace it, depending on how it is used. A student may ask for an explanation of a grammar point but can also ask the tool to complete the entire exercise. Similarly, feedback intended to improve writing may simply be copied into a draft without being understood. AI-generated responses may also be inaccurate, too general, or unsuitable for the learner’s level. Concerns have therefore been raised about academic integrity, privacy, overreliance, and students’ uncritical acceptance of AI-generated content (Lo et al., 2024; Miao &amp; Holmes, 2023). These concerns go beyond whether students submit work produced by AI. They also involve whether students continue to think, make decisions, and use language independently.</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The growing presence of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has made teacher guidance increasingly important. Effective use requires more than knowing how to operate an AI tool; it also involves decisions about when AI is appropriate, what it should contribute, and which parts of a task students should complete themselves (</w:t>
      </w:r>
      <w:proofErr w:type="spellStart"/>
      <w:r w:rsidRPr="00CC5A3D">
        <w:rPr>
          <w:rFonts w:ascii="Times New Roman" w:eastAsia="Times New Roman" w:hAnsi="Times New Roman" w:cs="Times New Roman"/>
          <w:sz w:val="24"/>
          <w:szCs w:val="24"/>
        </w:rPr>
        <w:t>Kohnke</w:t>
      </w:r>
      <w:proofErr w:type="spellEnd"/>
      <w:r w:rsidRPr="00CC5A3D">
        <w:rPr>
          <w:rFonts w:ascii="Times New Roman" w:eastAsia="Times New Roman" w:hAnsi="Times New Roman" w:cs="Times New Roman"/>
          <w:sz w:val="24"/>
          <w:szCs w:val="24"/>
        </w:rPr>
        <w:t xml:space="preserve"> et al., 2023b; </w:t>
      </w:r>
      <w:proofErr w:type="spellStart"/>
      <w:r w:rsidRPr="00CC5A3D">
        <w:rPr>
          <w:rFonts w:ascii="Times New Roman" w:eastAsia="Times New Roman" w:hAnsi="Times New Roman" w:cs="Times New Roman"/>
          <w:sz w:val="24"/>
          <w:szCs w:val="24"/>
        </w:rPr>
        <w:t>Moorhouse</w:t>
      </w:r>
      <w:proofErr w:type="spellEnd"/>
      <w:r w:rsidRPr="00CC5A3D">
        <w:rPr>
          <w:rFonts w:ascii="Times New Roman" w:eastAsia="Times New Roman" w:hAnsi="Times New Roman" w:cs="Times New Roman"/>
          <w:sz w:val="24"/>
          <w:szCs w:val="24"/>
        </w:rPr>
        <w:t xml:space="preserve"> et al., 2024). Against this background, the present study explores how university EFL teachers in Vietnam understand the role of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in language learning and how they guide students towards its effective and responsible use.</w:t>
      </w:r>
    </w:p>
    <w:p w:rsidR="00D21688" w:rsidRPr="00CC5A3D" w:rsidRDefault="00D21688" w:rsidP="00D779A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t>1.2 The Problem</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As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becomes more common in education, EFL teachers must decide how it should be used in their classrooms. Some institutions have restricted or prohibited its use to protect academic integrity and ensure that students complete their own work. However, a complete ban is difficult to enforce when these tools are widely available outside the classroom. It may also prevent students from learning how to use AI critically and responsibly in their future studies and careers. Current guidance therefore places greater emphasis on a human-</w:t>
      </w:r>
      <w:proofErr w:type="spellStart"/>
      <w:r w:rsidRPr="00CC5A3D">
        <w:rPr>
          <w:rFonts w:ascii="Times New Roman" w:eastAsia="Times New Roman" w:hAnsi="Times New Roman" w:cs="Times New Roman"/>
          <w:sz w:val="24"/>
          <w:szCs w:val="24"/>
        </w:rPr>
        <w:t>centred</w:t>
      </w:r>
      <w:proofErr w:type="spellEnd"/>
      <w:r w:rsidRPr="00CC5A3D">
        <w:rPr>
          <w:rFonts w:ascii="Times New Roman" w:eastAsia="Times New Roman" w:hAnsi="Times New Roman" w:cs="Times New Roman"/>
          <w:sz w:val="24"/>
          <w:szCs w:val="24"/>
        </w:rPr>
        <w:t xml:space="preserve"> approach that develops learners’ ability to make informed decisions about AI use (Miao &amp; Holmes, 2023).</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Allowing unrestricted use presents a different problem. Without clear guidance, students may rely on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to write paragraphs, complete grammar exercises, answer reading questions, or prepare spoken responses. In such cases, they may finish the task without </w:t>
      </w:r>
      <w:proofErr w:type="spellStart"/>
      <w:r w:rsidRPr="00CC5A3D">
        <w:rPr>
          <w:rFonts w:ascii="Times New Roman" w:eastAsia="Times New Roman" w:hAnsi="Times New Roman" w:cs="Times New Roman"/>
          <w:sz w:val="24"/>
          <w:szCs w:val="24"/>
        </w:rPr>
        <w:t>practising</w:t>
      </w:r>
      <w:proofErr w:type="spellEnd"/>
      <w:r w:rsidRPr="00CC5A3D">
        <w:rPr>
          <w:rFonts w:ascii="Times New Roman" w:eastAsia="Times New Roman" w:hAnsi="Times New Roman" w:cs="Times New Roman"/>
          <w:sz w:val="24"/>
          <w:szCs w:val="24"/>
        </w:rPr>
        <w:t xml:space="preserve"> the language or thinking it was </w:t>
      </w:r>
      <w:r w:rsidRPr="00CC5A3D">
        <w:rPr>
          <w:rFonts w:ascii="Times New Roman" w:eastAsia="Times New Roman" w:hAnsi="Times New Roman" w:cs="Times New Roman"/>
          <w:sz w:val="24"/>
          <w:szCs w:val="24"/>
        </w:rPr>
        <w:lastRenderedPageBreak/>
        <w:t>intended to develop. Students may also accept inaccurate or unsuitable AI-generated information without checking it (</w:t>
      </w:r>
      <w:proofErr w:type="spellStart"/>
      <w:r w:rsidRPr="00CC5A3D">
        <w:rPr>
          <w:rFonts w:ascii="Times New Roman" w:eastAsia="Times New Roman" w:hAnsi="Times New Roman" w:cs="Times New Roman"/>
          <w:sz w:val="24"/>
          <w:szCs w:val="24"/>
        </w:rPr>
        <w:t>Kohnke</w:t>
      </w:r>
      <w:proofErr w:type="spellEnd"/>
      <w:r w:rsidRPr="00CC5A3D">
        <w:rPr>
          <w:rFonts w:ascii="Times New Roman" w:eastAsia="Times New Roman" w:hAnsi="Times New Roman" w:cs="Times New Roman"/>
          <w:sz w:val="24"/>
          <w:szCs w:val="24"/>
        </w:rPr>
        <w:t xml:space="preserve"> et al., 2023a; Lo et al., 2024).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then becomes a substitute for learning rather than a tool that supports it.</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Neither complete prohibition nor unrestricted use offers a satisfactory solution. What is needed is a clearer approach in which teachers decide when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is appropriate, what support it should provide, and what students must do independently. Students also need guidance in evaluating, revising, and acknowledging AI-generated content. These decisions involve pedagogical judgement as well as technical knowledge (</w:t>
      </w:r>
      <w:proofErr w:type="spellStart"/>
      <w:r w:rsidRPr="00CC5A3D">
        <w:rPr>
          <w:rFonts w:ascii="Times New Roman" w:eastAsia="Times New Roman" w:hAnsi="Times New Roman" w:cs="Times New Roman"/>
          <w:sz w:val="24"/>
          <w:szCs w:val="24"/>
        </w:rPr>
        <w:t>Kohnke</w:t>
      </w:r>
      <w:proofErr w:type="spellEnd"/>
      <w:r w:rsidRPr="00CC5A3D">
        <w:rPr>
          <w:rFonts w:ascii="Times New Roman" w:eastAsia="Times New Roman" w:hAnsi="Times New Roman" w:cs="Times New Roman"/>
          <w:sz w:val="24"/>
          <w:szCs w:val="24"/>
        </w:rPr>
        <w:t xml:space="preserve"> et al., 2023b; </w:t>
      </w:r>
      <w:proofErr w:type="spellStart"/>
      <w:r w:rsidRPr="00CC5A3D">
        <w:rPr>
          <w:rFonts w:ascii="Times New Roman" w:eastAsia="Times New Roman" w:hAnsi="Times New Roman" w:cs="Times New Roman"/>
          <w:sz w:val="24"/>
          <w:szCs w:val="24"/>
        </w:rPr>
        <w:t>Moorhouse</w:t>
      </w:r>
      <w:proofErr w:type="spellEnd"/>
      <w:r w:rsidRPr="00CC5A3D">
        <w:rPr>
          <w:rFonts w:ascii="Times New Roman" w:eastAsia="Times New Roman" w:hAnsi="Times New Roman" w:cs="Times New Roman"/>
          <w:sz w:val="24"/>
          <w:szCs w:val="24"/>
        </w:rPr>
        <w:t xml:space="preserve"> et al., 2024). This study examines how teachers can create this middle ground and help students use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effectively without becoming dependent on it.</w:t>
      </w:r>
    </w:p>
    <w:p w:rsidR="00D21688" w:rsidRPr="00CC5A3D" w:rsidRDefault="00D21688" w:rsidP="00D779A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t>1.3 Research Gap</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Research on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in language education has mainly examined learners’ perceptions of the technology or its possible effects on writing, feedback, engagement, and language performance (Law, 2024; Lo et al., 2024). Writing has received particular attention, while the use of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in other activities, including vocabulary, grammar, reading, and speaking, remains less widely studied (Lo et al., 2024). As a result, existing research tells us more about what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may offer than about the classroom decisions involved in using it across different areas of language learning.</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Recent studies have also considered language teachers’ readiness and the knowledge they need to work with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w:t>
      </w:r>
      <w:proofErr w:type="spellStart"/>
      <w:r w:rsidRPr="00CC5A3D">
        <w:rPr>
          <w:rFonts w:ascii="Times New Roman" w:eastAsia="Times New Roman" w:hAnsi="Times New Roman" w:cs="Times New Roman"/>
          <w:sz w:val="24"/>
          <w:szCs w:val="24"/>
        </w:rPr>
        <w:t>Kohnke</w:t>
      </w:r>
      <w:proofErr w:type="spellEnd"/>
      <w:r w:rsidRPr="00CC5A3D">
        <w:rPr>
          <w:rFonts w:ascii="Times New Roman" w:eastAsia="Times New Roman" w:hAnsi="Times New Roman" w:cs="Times New Roman"/>
          <w:sz w:val="24"/>
          <w:szCs w:val="24"/>
        </w:rPr>
        <w:t xml:space="preserve"> et al., 2023b; </w:t>
      </w:r>
      <w:proofErr w:type="spellStart"/>
      <w:r w:rsidRPr="00CC5A3D">
        <w:rPr>
          <w:rFonts w:ascii="Times New Roman" w:eastAsia="Times New Roman" w:hAnsi="Times New Roman" w:cs="Times New Roman"/>
          <w:sz w:val="24"/>
          <w:szCs w:val="24"/>
        </w:rPr>
        <w:t>Moorhouse</w:t>
      </w:r>
      <w:proofErr w:type="spellEnd"/>
      <w:r w:rsidRPr="00CC5A3D">
        <w:rPr>
          <w:rFonts w:ascii="Times New Roman" w:eastAsia="Times New Roman" w:hAnsi="Times New Roman" w:cs="Times New Roman"/>
          <w:sz w:val="24"/>
          <w:szCs w:val="24"/>
        </w:rPr>
        <w:t xml:space="preserve"> et al., 2024). However, less attention has been given to how teachers apply this knowledge in practice. Questions remain about when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should be used, what students should complete independently, and how teachers can prevent useful support from developing into dependence. The present study addresses this gap by examining teachers’ approaches to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use in vocabulary, grammar, writing, idea generation, reading, and speaking activities. It also seeks to identify practical principles for effective and responsible use in university EFL classrooms.</w:t>
      </w:r>
    </w:p>
    <w:p w:rsidR="00D21688" w:rsidRPr="00CC5A3D" w:rsidRDefault="00D21688" w:rsidP="00D779A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t>1.4 Purpose of the Study</w:t>
      </w:r>
    </w:p>
    <w:p w:rsidR="00B34B3F" w:rsidRPr="00CC5A3D" w:rsidRDefault="00B34B3F" w:rsidP="00D779AB">
      <w:pPr>
        <w:spacing w:before="100" w:beforeAutospacing="1" w:after="100" w:afterAutospacing="1" w:line="360" w:lineRule="auto"/>
        <w:jc w:val="both"/>
        <w:outlineLvl w:val="2"/>
        <w:rPr>
          <w:rFonts w:ascii="Times New Roman" w:hAnsi="Times New Roman" w:cs="Times New Roman"/>
          <w:sz w:val="24"/>
          <w:szCs w:val="24"/>
        </w:rPr>
      </w:pPr>
      <w:r w:rsidRPr="00CC5A3D">
        <w:rPr>
          <w:rFonts w:ascii="Times New Roman" w:hAnsi="Times New Roman" w:cs="Times New Roman"/>
          <w:sz w:val="24"/>
          <w:szCs w:val="24"/>
        </w:rPr>
        <w:t xml:space="preserve">This study explores how university EFL teachers in Vietnam understand and guide the use of </w:t>
      </w:r>
      <w:proofErr w:type="spellStart"/>
      <w:r w:rsidRPr="00CC5A3D">
        <w:rPr>
          <w:rFonts w:ascii="Times New Roman" w:hAnsi="Times New Roman" w:cs="Times New Roman"/>
          <w:sz w:val="24"/>
          <w:szCs w:val="24"/>
        </w:rPr>
        <w:t>GenAI</w:t>
      </w:r>
      <w:proofErr w:type="spellEnd"/>
      <w:r w:rsidRPr="00CC5A3D">
        <w:rPr>
          <w:rFonts w:ascii="Times New Roman" w:hAnsi="Times New Roman" w:cs="Times New Roman"/>
          <w:sz w:val="24"/>
          <w:szCs w:val="24"/>
        </w:rPr>
        <w:t xml:space="preserve"> in language learning. It focuses on six areas: vocabulary, grammar, writing feedback, idea generation, reading, and speaking. The study does not attempt to measure whether </w:t>
      </w:r>
      <w:proofErr w:type="spellStart"/>
      <w:r w:rsidRPr="00CC5A3D">
        <w:rPr>
          <w:rFonts w:ascii="Times New Roman" w:hAnsi="Times New Roman" w:cs="Times New Roman"/>
          <w:sz w:val="24"/>
          <w:szCs w:val="24"/>
        </w:rPr>
        <w:t>GenAI</w:t>
      </w:r>
      <w:proofErr w:type="spellEnd"/>
      <w:r w:rsidRPr="00CC5A3D">
        <w:rPr>
          <w:rFonts w:ascii="Times New Roman" w:hAnsi="Times New Roman" w:cs="Times New Roman"/>
          <w:sz w:val="24"/>
          <w:szCs w:val="24"/>
        </w:rPr>
        <w:t xml:space="preserve"> improves students’ language proficiency. </w:t>
      </w:r>
      <w:r w:rsidR="003E06E4" w:rsidRPr="00CC5A3D">
        <w:rPr>
          <w:rFonts w:ascii="Times New Roman" w:hAnsi="Times New Roman" w:cs="Times New Roman"/>
          <w:sz w:val="24"/>
          <w:szCs w:val="24"/>
        </w:rPr>
        <w:t xml:space="preserve">Instead, it examines how teachers perceive </w:t>
      </w:r>
      <w:proofErr w:type="spellStart"/>
      <w:r w:rsidR="003E06E4" w:rsidRPr="00CC5A3D">
        <w:rPr>
          <w:rFonts w:ascii="Times New Roman" w:hAnsi="Times New Roman" w:cs="Times New Roman"/>
          <w:sz w:val="24"/>
          <w:szCs w:val="24"/>
        </w:rPr>
        <w:t>GenAI</w:t>
      </w:r>
      <w:proofErr w:type="spellEnd"/>
      <w:r w:rsidR="003E06E4" w:rsidRPr="00CC5A3D">
        <w:rPr>
          <w:rFonts w:ascii="Times New Roman" w:hAnsi="Times New Roman" w:cs="Times New Roman"/>
          <w:sz w:val="24"/>
          <w:szCs w:val="24"/>
        </w:rPr>
        <w:t xml:space="preserve"> as a learning aid, what guidance they propose, and how they believe the risk o</w:t>
      </w:r>
      <w:r w:rsidR="003E06E4" w:rsidRPr="00CC5A3D">
        <w:rPr>
          <w:rFonts w:ascii="Times New Roman" w:hAnsi="Times New Roman" w:cs="Times New Roman"/>
          <w:sz w:val="24"/>
          <w:szCs w:val="24"/>
        </w:rPr>
        <w:t>f overreliance can be addressed</w:t>
      </w:r>
      <w:r w:rsidRPr="00CC5A3D">
        <w:rPr>
          <w:rFonts w:ascii="Times New Roman" w:hAnsi="Times New Roman" w:cs="Times New Roman"/>
          <w:sz w:val="24"/>
          <w:szCs w:val="24"/>
        </w:rPr>
        <w:t xml:space="preserve">. Based on teachers’ </w:t>
      </w:r>
      <w:r w:rsidRPr="00CC5A3D">
        <w:rPr>
          <w:rFonts w:ascii="Times New Roman" w:hAnsi="Times New Roman" w:cs="Times New Roman"/>
          <w:sz w:val="24"/>
          <w:szCs w:val="24"/>
        </w:rPr>
        <w:lastRenderedPageBreak/>
        <w:t xml:space="preserve">experiences and judgements, the study aims to identify practical strategies and classroom principles for effective and responsible </w:t>
      </w:r>
      <w:proofErr w:type="spellStart"/>
      <w:r w:rsidRPr="00CC5A3D">
        <w:rPr>
          <w:rFonts w:ascii="Times New Roman" w:hAnsi="Times New Roman" w:cs="Times New Roman"/>
          <w:sz w:val="24"/>
          <w:szCs w:val="24"/>
        </w:rPr>
        <w:t>GenAI</w:t>
      </w:r>
      <w:proofErr w:type="spellEnd"/>
      <w:r w:rsidRPr="00CC5A3D">
        <w:rPr>
          <w:rFonts w:ascii="Times New Roman" w:hAnsi="Times New Roman" w:cs="Times New Roman"/>
          <w:sz w:val="24"/>
          <w:szCs w:val="24"/>
        </w:rPr>
        <w:t xml:space="preserve"> use.</w:t>
      </w:r>
    </w:p>
    <w:p w:rsidR="00D21688" w:rsidRPr="00CC5A3D" w:rsidRDefault="00D21688" w:rsidP="00D779A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t>1.5 Research Questions</w:t>
      </w:r>
    </w:p>
    <w:p w:rsidR="00BD4887" w:rsidRPr="00CC5A3D" w:rsidRDefault="00BD4887" w:rsidP="00D779AB">
      <w:pPr>
        <w:pStyle w:val="pdq2pgselectionanchorcontainer"/>
        <w:spacing w:line="360" w:lineRule="auto"/>
      </w:pPr>
      <w:r w:rsidRPr="00CC5A3D">
        <w:rPr>
          <w:rStyle w:val="Strong"/>
        </w:rPr>
        <w:t>RQ1:</w:t>
      </w:r>
      <w:r w:rsidRPr="00CC5A3D">
        <w:t xml:space="preserve"> How do university EFL teachers perceive the ways in which </w:t>
      </w:r>
      <w:proofErr w:type="spellStart"/>
      <w:r w:rsidRPr="00CC5A3D">
        <w:t>GenAI</w:t>
      </w:r>
      <w:proofErr w:type="spellEnd"/>
      <w:r w:rsidRPr="00CC5A3D">
        <w:t xml:space="preserve"> can support common language-learning activities?</w:t>
      </w:r>
    </w:p>
    <w:p w:rsidR="00BD4887" w:rsidRPr="00CC5A3D" w:rsidRDefault="00BD4887" w:rsidP="00D779AB">
      <w:pPr>
        <w:pStyle w:val="NormalWeb"/>
        <w:spacing w:line="360" w:lineRule="auto"/>
      </w:pPr>
      <w:r w:rsidRPr="00CC5A3D">
        <w:rPr>
          <w:rStyle w:val="Strong"/>
        </w:rPr>
        <w:t>RQ2:</w:t>
      </w:r>
      <w:r w:rsidRPr="00CC5A3D">
        <w:t xml:space="preserve"> What strategies do university EFL teachers propose for guiding students’ use of </w:t>
      </w:r>
      <w:proofErr w:type="spellStart"/>
      <w:r w:rsidRPr="00CC5A3D">
        <w:t>GenAI</w:t>
      </w:r>
      <w:proofErr w:type="spellEnd"/>
      <w:r w:rsidRPr="00CC5A3D">
        <w:t xml:space="preserve"> within these activities?</w:t>
      </w:r>
    </w:p>
    <w:p w:rsidR="00BD4887" w:rsidRPr="00CC5A3D" w:rsidRDefault="00BD4887" w:rsidP="00D779AB">
      <w:pPr>
        <w:pStyle w:val="NormalWeb"/>
        <w:spacing w:line="360" w:lineRule="auto"/>
      </w:pPr>
      <w:r w:rsidRPr="00CC5A3D">
        <w:rPr>
          <w:rStyle w:val="Strong"/>
        </w:rPr>
        <w:t>RQ3:</w:t>
      </w:r>
      <w:r w:rsidRPr="00CC5A3D">
        <w:t xml:space="preserve"> What classroom principles do teachers identify as important for responsible </w:t>
      </w:r>
      <w:proofErr w:type="spellStart"/>
      <w:r w:rsidRPr="00CC5A3D">
        <w:t>GenAI</w:t>
      </w:r>
      <w:proofErr w:type="spellEnd"/>
      <w:r w:rsidRPr="00CC5A3D">
        <w:t xml:space="preserve"> use and for addressing the risk of overreliance?</w:t>
      </w:r>
    </w:p>
    <w:p w:rsidR="00D21688" w:rsidRPr="00CC5A3D" w:rsidRDefault="00D21688" w:rsidP="00D779A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t>1.6 Significance of the Study</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This study contribute</w:t>
      </w:r>
      <w:r w:rsidR="00A521A3" w:rsidRPr="00CC5A3D">
        <w:rPr>
          <w:rFonts w:ascii="Times New Roman" w:eastAsia="Times New Roman" w:hAnsi="Times New Roman" w:cs="Times New Roman"/>
          <w:sz w:val="24"/>
          <w:szCs w:val="24"/>
        </w:rPr>
        <w:t>s</w:t>
      </w:r>
      <w:r w:rsidRPr="00CC5A3D">
        <w:rPr>
          <w:rFonts w:ascii="Times New Roman" w:eastAsia="Times New Roman" w:hAnsi="Times New Roman" w:cs="Times New Roman"/>
          <w:sz w:val="24"/>
          <w:szCs w:val="24"/>
        </w:rPr>
        <w:t xml:space="preserve"> to current discussions of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in language education at conceptual, pedagogical, and institutional levels.</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bCs/>
          <w:sz w:val="24"/>
          <w:szCs w:val="24"/>
        </w:rPr>
        <w:t>Conceptually</w:t>
      </w:r>
      <w:r w:rsidRPr="00CC5A3D">
        <w:rPr>
          <w:rFonts w:ascii="Times New Roman" w:eastAsia="Times New Roman" w:hAnsi="Times New Roman" w:cs="Times New Roman"/>
          <w:sz w:val="24"/>
          <w:szCs w:val="24"/>
        </w:rPr>
        <w:t xml:space="preserve">, the study highlights the role of teacher guidance in shaping how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supports learning. It does not treat the technology as helpful or harmful in itself. Instead, its educational value is understood as depending on the task, the guidance provided, and the extent to which students remain involved in thinking and producing language. The study may therefore offer a clearer account of teacher-guided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use in EFL education.</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bCs/>
          <w:sz w:val="24"/>
          <w:szCs w:val="24"/>
        </w:rPr>
        <w:t>Pedagogically</w:t>
      </w:r>
      <w:r w:rsidRPr="00CC5A3D">
        <w:rPr>
          <w:rFonts w:ascii="Times New Roman" w:eastAsia="Times New Roman" w:hAnsi="Times New Roman" w:cs="Times New Roman"/>
          <w:sz w:val="24"/>
          <w:szCs w:val="24"/>
        </w:rPr>
        <w:t xml:space="preserve">, the findings may help teachers make more informed decisions about using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in vocabulary, grammar, writing, idea generation, reading, and speaking activities. In particular, the study considers when AI support is appropriate, which parts of a task students should complete independently, and how they can be encouraged to check and revise AI-generated responses. These insights may also be useful in professional development for EFL teachers.</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bCs/>
          <w:sz w:val="24"/>
          <w:szCs w:val="24"/>
        </w:rPr>
        <w:t>At the institutional level</w:t>
      </w:r>
      <w:r w:rsidRPr="00CC5A3D">
        <w:rPr>
          <w:rFonts w:ascii="Times New Roman" w:eastAsia="Times New Roman" w:hAnsi="Times New Roman" w:cs="Times New Roman"/>
          <w:sz w:val="24"/>
          <w:szCs w:val="24"/>
        </w:rPr>
        <w:t xml:space="preserve">, the study may inform the development of clearer guidance for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use in language </w:t>
      </w:r>
      <w:proofErr w:type="spellStart"/>
      <w:r w:rsidRPr="00CC5A3D">
        <w:rPr>
          <w:rFonts w:ascii="Times New Roman" w:eastAsia="Times New Roman" w:hAnsi="Times New Roman" w:cs="Times New Roman"/>
          <w:sz w:val="24"/>
          <w:szCs w:val="24"/>
        </w:rPr>
        <w:t>programmes</w:t>
      </w:r>
      <w:proofErr w:type="spellEnd"/>
      <w:r w:rsidRPr="00CC5A3D">
        <w:rPr>
          <w:rFonts w:ascii="Times New Roman" w:eastAsia="Times New Roman" w:hAnsi="Times New Roman" w:cs="Times New Roman"/>
          <w:sz w:val="24"/>
          <w:szCs w:val="24"/>
        </w:rPr>
        <w:t xml:space="preserve">. Its findings could help universities move beyond a simple choice between prohibition and unrestricted use. A more balanced approach may support academic integrity while allowing students to develop the judgement needed to use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purposefully and responsibly.</w:t>
      </w:r>
    </w:p>
    <w:p w:rsidR="00D21688" w:rsidRPr="00CC5A3D" w:rsidRDefault="00D21688" w:rsidP="00D779AB">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t>2. Literature Review</w:t>
      </w:r>
    </w:p>
    <w:p w:rsidR="00B34B3F" w:rsidRPr="00CC5A3D" w:rsidRDefault="00B34B3F" w:rsidP="00D779AB">
      <w:pPr>
        <w:pStyle w:val="Heading3"/>
        <w:spacing w:line="360" w:lineRule="auto"/>
        <w:jc w:val="both"/>
        <w:rPr>
          <w:sz w:val="24"/>
          <w:szCs w:val="24"/>
        </w:rPr>
      </w:pPr>
      <w:r w:rsidRPr="00CC5A3D">
        <w:rPr>
          <w:sz w:val="24"/>
          <w:szCs w:val="24"/>
        </w:rPr>
        <w:lastRenderedPageBreak/>
        <w:t>2.1 Generative AI in Language Education</w:t>
      </w:r>
    </w:p>
    <w:p w:rsidR="00B34B3F" w:rsidRPr="00CC5A3D" w:rsidRDefault="00B34B3F" w:rsidP="00D779AB">
      <w:pPr>
        <w:pStyle w:val="isselectedend"/>
        <w:spacing w:line="360" w:lineRule="auto"/>
        <w:jc w:val="both"/>
      </w:pPr>
      <w:r w:rsidRPr="00CC5A3D">
        <w:t>Generative artificial intelligence (</w:t>
      </w:r>
      <w:proofErr w:type="spellStart"/>
      <w:r w:rsidRPr="00CC5A3D">
        <w:t>GenAI</w:t>
      </w:r>
      <w:proofErr w:type="spellEnd"/>
      <w:r w:rsidRPr="00CC5A3D">
        <w:t xml:space="preserve">) refers to systems that produce new content in response to users’ prompts. Most widely used </w:t>
      </w:r>
      <w:proofErr w:type="spellStart"/>
      <w:r w:rsidRPr="00CC5A3D">
        <w:t>GenAI</w:t>
      </w:r>
      <w:proofErr w:type="spellEnd"/>
      <w:r w:rsidRPr="00CC5A3D">
        <w:t xml:space="preserve"> tools are based on large language models trained on extensive collections of text. They can generate explanations and examples, answer questions, and maintain conversations with users. Tools such as </w:t>
      </w:r>
      <w:proofErr w:type="spellStart"/>
      <w:r w:rsidRPr="00CC5A3D">
        <w:t>ChatGPT</w:t>
      </w:r>
      <w:proofErr w:type="spellEnd"/>
      <w:r w:rsidRPr="00CC5A3D">
        <w:t>, Gemini, Claude, and Microsoft Copilot have made these functions readily available to both teachers and learners.</w:t>
      </w:r>
    </w:p>
    <w:p w:rsidR="00B34B3F" w:rsidRPr="00CC5A3D" w:rsidRDefault="00B34B3F" w:rsidP="00D779AB">
      <w:pPr>
        <w:pStyle w:val="isselectedend"/>
        <w:spacing w:line="360" w:lineRule="auto"/>
        <w:jc w:val="both"/>
      </w:pPr>
      <w:r w:rsidRPr="00CC5A3D">
        <w:t xml:space="preserve">Unlike earlier forms of educational technology, which often provided fixed exercises or limited automated correction, </w:t>
      </w:r>
      <w:proofErr w:type="spellStart"/>
      <w:r w:rsidRPr="00CC5A3D">
        <w:t>GenAI</w:t>
      </w:r>
      <w:proofErr w:type="spellEnd"/>
      <w:r w:rsidRPr="00CC5A3D">
        <w:t xml:space="preserve"> allows learners to continue an exchange and adjust the support they receive. They can ask follow-up questions, request a simpler explanation, or ask for examples suited to their level and learning purpose (</w:t>
      </w:r>
      <w:proofErr w:type="spellStart"/>
      <w:r w:rsidRPr="00CC5A3D">
        <w:t>Kohnke</w:t>
      </w:r>
      <w:proofErr w:type="spellEnd"/>
      <w:r w:rsidRPr="00CC5A3D">
        <w:t xml:space="preserve"> et al., 2023a; Law, 2024). In EFL education, this creates opportunities for work with vocabulary, grammar, writing, reading, and speaking. Teachers may also use </w:t>
      </w:r>
      <w:proofErr w:type="spellStart"/>
      <w:r w:rsidRPr="00CC5A3D">
        <w:t>GenAI</w:t>
      </w:r>
      <w:proofErr w:type="spellEnd"/>
      <w:r w:rsidRPr="00CC5A3D">
        <w:t xml:space="preserve"> when preparing materials, designing tasks, or giving feedback.</w:t>
      </w:r>
    </w:p>
    <w:p w:rsidR="00B34B3F" w:rsidRPr="00CC5A3D" w:rsidRDefault="00B34B3F" w:rsidP="00D779AB">
      <w:pPr>
        <w:pStyle w:val="NormalWeb"/>
        <w:spacing w:line="360" w:lineRule="auto"/>
        <w:jc w:val="both"/>
      </w:pPr>
      <w:r w:rsidRPr="00CC5A3D">
        <w:t xml:space="preserve">Its value, however, cannot be judged only by the range of functions it offers. Questions about accuracy, academic integrity, and dependence on AI-generated language have become increasingly important (Lo et al., 2024). Research attention has therefore begun to move from what </w:t>
      </w:r>
      <w:proofErr w:type="spellStart"/>
      <w:r w:rsidRPr="00CC5A3D">
        <w:t>GenAI</w:t>
      </w:r>
      <w:proofErr w:type="spellEnd"/>
      <w:r w:rsidRPr="00CC5A3D">
        <w:t xml:space="preserve"> can produce to how teachers and learners use it within particular learning activities.</w:t>
      </w:r>
    </w:p>
    <w:p w:rsidR="00B34B3F" w:rsidRPr="00CC5A3D" w:rsidRDefault="00B34B3F" w:rsidP="00D779AB">
      <w:pPr>
        <w:pStyle w:val="Heading3"/>
        <w:spacing w:line="360" w:lineRule="auto"/>
        <w:jc w:val="both"/>
        <w:rPr>
          <w:sz w:val="24"/>
          <w:szCs w:val="24"/>
        </w:rPr>
      </w:pPr>
      <w:r w:rsidRPr="00CC5A3D">
        <w:rPr>
          <w:sz w:val="24"/>
          <w:szCs w:val="24"/>
        </w:rPr>
        <w:t>2.2 Benefits of Generative AI in Language Education</w:t>
      </w:r>
    </w:p>
    <w:p w:rsidR="00B34B3F" w:rsidRPr="00CC5A3D" w:rsidRDefault="00B34B3F" w:rsidP="00D779AB">
      <w:pPr>
        <w:pStyle w:val="isselectedend"/>
        <w:spacing w:line="360" w:lineRule="auto"/>
        <w:jc w:val="both"/>
      </w:pPr>
      <w:proofErr w:type="spellStart"/>
      <w:r w:rsidRPr="00CC5A3D">
        <w:t>GenAI</w:t>
      </w:r>
      <w:proofErr w:type="spellEnd"/>
      <w:r w:rsidRPr="00CC5A3D">
        <w:t xml:space="preserve"> can provide immediate and interactive support across several areas of EFL learning. In vocabulary and grammar work, learners can request definitions, collocations, examples, and explanations suited to a particular context. They can also ask why an answer is incorrect rather than simply receiving a correction. Used in this way, </w:t>
      </w:r>
      <w:proofErr w:type="spellStart"/>
      <w:r w:rsidRPr="00CC5A3D">
        <w:t>GenAI</w:t>
      </w:r>
      <w:proofErr w:type="spellEnd"/>
      <w:r w:rsidRPr="00CC5A3D">
        <w:t xml:space="preserve"> may help learners notice language patterns and think more carefully about their errors (</w:t>
      </w:r>
      <w:proofErr w:type="spellStart"/>
      <w:r w:rsidRPr="00CC5A3D">
        <w:t>Kohnke</w:t>
      </w:r>
      <w:proofErr w:type="spellEnd"/>
      <w:r w:rsidRPr="00CC5A3D">
        <w:t xml:space="preserve"> et al., 2023a; Law, 2024).</w:t>
      </w:r>
    </w:p>
    <w:p w:rsidR="00B34B3F" w:rsidRPr="00CC5A3D" w:rsidRDefault="00B34B3F" w:rsidP="00D779AB">
      <w:pPr>
        <w:pStyle w:val="isselectedend"/>
        <w:spacing w:line="360" w:lineRule="auto"/>
        <w:jc w:val="both"/>
      </w:pPr>
      <w:r w:rsidRPr="00CC5A3D">
        <w:t xml:space="preserve">Writing is currently the most widely studied application of </w:t>
      </w:r>
      <w:proofErr w:type="spellStart"/>
      <w:r w:rsidRPr="00CC5A3D">
        <w:t>GenAI</w:t>
      </w:r>
      <w:proofErr w:type="spellEnd"/>
      <w:r w:rsidRPr="00CC5A3D">
        <w:t xml:space="preserve"> in ESL/EFL education (Lo et al., 2024). Learners may use it to develop ideas, </w:t>
      </w:r>
      <w:proofErr w:type="spellStart"/>
      <w:r w:rsidRPr="00CC5A3D">
        <w:t>organise</w:t>
      </w:r>
      <w:proofErr w:type="spellEnd"/>
      <w:r w:rsidRPr="00CC5A3D">
        <w:t xml:space="preserve"> arguments, obtain feedback, or consider possible revisions to a draft. This support can be useful at different stages of writing, particularly when students engage with the suggestions and make their own decisions rather than copying a generated response.</w:t>
      </w:r>
    </w:p>
    <w:p w:rsidR="00B34B3F" w:rsidRPr="00CC5A3D" w:rsidRDefault="00B34B3F" w:rsidP="00D779AB">
      <w:pPr>
        <w:pStyle w:val="isselectedend"/>
        <w:spacing w:line="360" w:lineRule="auto"/>
        <w:jc w:val="both"/>
      </w:pPr>
      <w:proofErr w:type="spellStart"/>
      <w:r w:rsidRPr="00CC5A3D">
        <w:t>GenAI</w:t>
      </w:r>
      <w:proofErr w:type="spellEnd"/>
      <w:r w:rsidRPr="00CC5A3D">
        <w:t xml:space="preserve"> may also create additional opportunities for reading and speaking practice. It can explain unfamiliar expressions, simplify difficult passages, produce summaries, and generate questions about a text. In speaking activities, conversational AI can take part in role-plays or simulated interviews, </w:t>
      </w:r>
      <w:r w:rsidRPr="00CC5A3D">
        <w:lastRenderedPageBreak/>
        <w:t xml:space="preserve">allowing learners to </w:t>
      </w:r>
      <w:proofErr w:type="spellStart"/>
      <w:r w:rsidRPr="00CC5A3D">
        <w:t>practise</w:t>
      </w:r>
      <w:proofErr w:type="spellEnd"/>
      <w:r w:rsidRPr="00CC5A3D">
        <w:t xml:space="preserve"> in a setting that may feel less stressful than speaking in front of a class. Evidence for these uses, however, remains less developed than research on writing (Lo et al., 2024).</w:t>
      </w:r>
    </w:p>
    <w:p w:rsidR="00B34B3F" w:rsidRPr="00CC5A3D" w:rsidRDefault="00B34B3F" w:rsidP="00D779AB">
      <w:pPr>
        <w:pStyle w:val="NormalWeb"/>
        <w:spacing w:line="360" w:lineRule="auto"/>
        <w:jc w:val="both"/>
      </w:pPr>
      <w:r w:rsidRPr="00CC5A3D">
        <w:t xml:space="preserve">More generally, </w:t>
      </w:r>
      <w:proofErr w:type="spellStart"/>
      <w:r w:rsidRPr="00CC5A3D">
        <w:t>GenAI</w:t>
      </w:r>
      <w:proofErr w:type="spellEnd"/>
      <w:r w:rsidRPr="00CC5A3D">
        <w:t xml:space="preserve"> allows learners to seek support at the time they need it and work at their own pace. This may be particularly useful in large classes, where individual feedback from the teacher is often limited. The ability to adjust explanations and activities to a learner’s level may also support confidence, engagement, and learner autonomy (Law, 2024). These benefits still depend on how the tool is used. </w:t>
      </w:r>
      <w:proofErr w:type="spellStart"/>
      <w:r w:rsidRPr="00CC5A3D">
        <w:t>GenAI</w:t>
      </w:r>
      <w:proofErr w:type="spellEnd"/>
      <w:r w:rsidRPr="00CC5A3D">
        <w:t xml:space="preserve"> is more likely to support learning when students remain responsible for evaluating its responses and making their own language choices.</w:t>
      </w:r>
    </w:p>
    <w:p w:rsidR="00D21688" w:rsidRPr="00CC5A3D" w:rsidRDefault="00D21688" w:rsidP="00D779A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t>2.3 Challenges of Generative AI in Language Education</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The growing use of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also presents several challenges. One concerns the reliability of its responses.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may produce information that sounds convincing but is inaccurate or fabricated. EFL learners may find such errors difficult to </w:t>
      </w:r>
      <w:proofErr w:type="spellStart"/>
      <w:r w:rsidRPr="00CC5A3D">
        <w:rPr>
          <w:rFonts w:ascii="Times New Roman" w:eastAsia="Times New Roman" w:hAnsi="Times New Roman" w:cs="Times New Roman"/>
          <w:sz w:val="24"/>
          <w:szCs w:val="24"/>
        </w:rPr>
        <w:t>recognise</w:t>
      </w:r>
      <w:proofErr w:type="spellEnd"/>
      <w:r w:rsidRPr="00CC5A3D">
        <w:rPr>
          <w:rFonts w:ascii="Times New Roman" w:eastAsia="Times New Roman" w:hAnsi="Times New Roman" w:cs="Times New Roman"/>
          <w:sz w:val="24"/>
          <w:szCs w:val="24"/>
        </w:rPr>
        <w:t>, particularly when they involve grammar explanations, word choice, or examples of language use. AI-generated content may also reproduce cultural or linguistic biases found in its training data (Lo et al., 2024; Miao &amp; Holmes, 2023). Learners therefore need to approach its responses critically rather than assume that they are correct.</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A second concern involves authorship and overreliance.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can produce essays, summaries, and answers with very little input from the learner, making it difficult to know whose ability the final work represents. Students who regularly use AI to complete tasks may also miss opportunities to develop ideas, solve language problems, and produce English independently. The concern is not limited to plagiarism. Even when AI use is permitted, accepting its output without evaluation may weaken learners’ engagement with the process of learning (</w:t>
      </w:r>
      <w:proofErr w:type="spellStart"/>
      <w:r w:rsidRPr="00CC5A3D">
        <w:rPr>
          <w:rFonts w:ascii="Times New Roman" w:eastAsia="Times New Roman" w:hAnsi="Times New Roman" w:cs="Times New Roman"/>
          <w:sz w:val="24"/>
          <w:szCs w:val="24"/>
        </w:rPr>
        <w:t>Kohnke</w:t>
      </w:r>
      <w:proofErr w:type="spellEnd"/>
      <w:r w:rsidRPr="00CC5A3D">
        <w:rPr>
          <w:rFonts w:ascii="Times New Roman" w:eastAsia="Times New Roman" w:hAnsi="Times New Roman" w:cs="Times New Roman"/>
          <w:sz w:val="24"/>
          <w:szCs w:val="24"/>
        </w:rPr>
        <w:t xml:space="preserve"> et al., 2023a; Lo et al., 2024).</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Privacy and teacher preparedness create further difficulties. Students may upload personal information or academic work without knowing how commercial platforms store or reuse their data (Miao &amp; Holmes, 2023). At the same time, teachers may be uncertain about appropriate use, assessment, disclosure, and the boundaries of their role. Some may also lack the training needed to make informed decisions about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-supported learning (</w:t>
      </w:r>
      <w:proofErr w:type="spellStart"/>
      <w:r w:rsidRPr="00CC5A3D">
        <w:rPr>
          <w:rFonts w:ascii="Times New Roman" w:eastAsia="Times New Roman" w:hAnsi="Times New Roman" w:cs="Times New Roman"/>
          <w:sz w:val="24"/>
          <w:szCs w:val="24"/>
        </w:rPr>
        <w:t>Kohnke</w:t>
      </w:r>
      <w:proofErr w:type="spellEnd"/>
      <w:r w:rsidRPr="00CC5A3D">
        <w:rPr>
          <w:rFonts w:ascii="Times New Roman" w:eastAsia="Times New Roman" w:hAnsi="Times New Roman" w:cs="Times New Roman"/>
          <w:sz w:val="24"/>
          <w:szCs w:val="24"/>
        </w:rPr>
        <w:t xml:space="preserve"> et al., 2023b; </w:t>
      </w:r>
      <w:proofErr w:type="spellStart"/>
      <w:r w:rsidRPr="00CC5A3D">
        <w:rPr>
          <w:rFonts w:ascii="Times New Roman" w:eastAsia="Times New Roman" w:hAnsi="Times New Roman" w:cs="Times New Roman"/>
          <w:sz w:val="24"/>
          <w:szCs w:val="24"/>
        </w:rPr>
        <w:t>Moorhouse</w:t>
      </w:r>
      <w:proofErr w:type="spellEnd"/>
      <w:r w:rsidRPr="00CC5A3D">
        <w:rPr>
          <w:rFonts w:ascii="Times New Roman" w:eastAsia="Times New Roman" w:hAnsi="Times New Roman" w:cs="Times New Roman"/>
          <w:sz w:val="24"/>
          <w:szCs w:val="24"/>
        </w:rPr>
        <w:t xml:space="preserve"> et al., 2024). Addressing these concerns requires clear classroom expectations, appropriate teacher development, and learning activities that keep students actively involved in producing and evaluating language.</w:t>
      </w:r>
    </w:p>
    <w:p w:rsidR="00B34B3F" w:rsidRPr="00CC5A3D" w:rsidRDefault="00B34B3F" w:rsidP="00D779AB">
      <w:pPr>
        <w:pStyle w:val="Heading3"/>
        <w:spacing w:line="360" w:lineRule="auto"/>
        <w:jc w:val="both"/>
        <w:rPr>
          <w:sz w:val="24"/>
          <w:szCs w:val="24"/>
        </w:rPr>
      </w:pPr>
      <w:r w:rsidRPr="00CC5A3D">
        <w:rPr>
          <w:sz w:val="24"/>
          <w:szCs w:val="24"/>
        </w:rPr>
        <w:t>2.4 Teacher Roles in AI-Supported Learning</w:t>
      </w:r>
    </w:p>
    <w:p w:rsidR="00B34B3F" w:rsidRPr="00CC5A3D" w:rsidRDefault="00B34B3F" w:rsidP="00D779AB">
      <w:pPr>
        <w:pStyle w:val="isselectedend"/>
        <w:spacing w:line="360" w:lineRule="auto"/>
        <w:jc w:val="both"/>
      </w:pPr>
      <w:proofErr w:type="spellStart"/>
      <w:r w:rsidRPr="00CC5A3D">
        <w:lastRenderedPageBreak/>
        <w:t>GenAI</w:t>
      </w:r>
      <w:proofErr w:type="spellEnd"/>
      <w:r w:rsidRPr="00CC5A3D">
        <w:t xml:space="preserve"> does not reduce the importance of teachers, but it does change some aspects of their work. When students can obtain explanations, feedback, and examples almost immediately, the teacher is no longer their only source of language support. Greater attention is therefore placed on task design, classroom guidance, and decisions about how AI should contribute to learning (</w:t>
      </w:r>
      <w:proofErr w:type="spellStart"/>
      <w:r w:rsidRPr="00CC5A3D">
        <w:t>Kohnke</w:t>
      </w:r>
      <w:proofErr w:type="spellEnd"/>
      <w:r w:rsidRPr="00CC5A3D">
        <w:t xml:space="preserve"> et al., 2023b; </w:t>
      </w:r>
      <w:proofErr w:type="spellStart"/>
      <w:r w:rsidRPr="00CC5A3D">
        <w:t>Moorhouse</w:t>
      </w:r>
      <w:proofErr w:type="spellEnd"/>
      <w:r w:rsidRPr="00CC5A3D">
        <w:t xml:space="preserve"> et al., 2024).</w:t>
      </w:r>
    </w:p>
    <w:p w:rsidR="00B34B3F" w:rsidRPr="00CC5A3D" w:rsidRDefault="00B34B3F" w:rsidP="00D779AB">
      <w:pPr>
        <w:pStyle w:val="isselectedend"/>
        <w:spacing w:line="360" w:lineRule="auto"/>
        <w:jc w:val="both"/>
      </w:pPr>
      <w:r w:rsidRPr="00CC5A3D">
        <w:t xml:space="preserve">As task designers, teachers decide whether </w:t>
      </w:r>
      <w:proofErr w:type="spellStart"/>
      <w:r w:rsidRPr="00CC5A3D">
        <w:t>GenAI</w:t>
      </w:r>
      <w:proofErr w:type="spellEnd"/>
      <w:r w:rsidRPr="00CC5A3D">
        <w:t xml:space="preserve"> is suitable for a particular activity and which parts students should complete on their own. For example, AI may be used to suggest ideas, but students can still be expected to select, question, and develop those ideas themselves. Teachers may also model how to write useful prompts, check information, and respond to AI feedback. The purpose of this guidance is not simply to help students obtain better answers from the tool. It is to help them make informed language choices and take responsibility for the final work.</w:t>
      </w:r>
    </w:p>
    <w:p w:rsidR="00B34B3F" w:rsidRPr="00CC5A3D" w:rsidRDefault="00B34B3F" w:rsidP="00D779AB">
      <w:pPr>
        <w:pStyle w:val="isselectedend"/>
        <w:spacing w:line="360" w:lineRule="auto"/>
        <w:jc w:val="both"/>
      </w:pPr>
      <w:r w:rsidRPr="00CC5A3D">
        <w:t xml:space="preserve">Teachers also have a role in setting boundaries. Students need to know when AI use is acceptable, when it should be acknowledged, and what information should not be shared with commercial platforms. Discussions of inaccurate output, bias, privacy, and academic integrity can help students understand that using </w:t>
      </w:r>
      <w:proofErr w:type="spellStart"/>
      <w:r w:rsidRPr="00CC5A3D">
        <w:t>GenAI</w:t>
      </w:r>
      <w:proofErr w:type="spellEnd"/>
      <w:r w:rsidRPr="00CC5A3D">
        <w:t xml:space="preserve"> involves judgement as well as technical skill (Miao &amp; Holmes, 2023).</w:t>
      </w:r>
    </w:p>
    <w:p w:rsidR="00B34B3F" w:rsidRPr="00CC5A3D" w:rsidRDefault="00B34B3F" w:rsidP="00D779AB">
      <w:pPr>
        <w:pStyle w:val="NormalWeb"/>
        <w:spacing w:line="360" w:lineRule="auto"/>
        <w:jc w:val="both"/>
      </w:pPr>
      <w:r w:rsidRPr="00CC5A3D">
        <w:t xml:space="preserve">These roles often overlap in practice. A teacher may design an AI-supported task, guide students as they complete it, and later ask them to explain the choices they made. The value of </w:t>
      </w:r>
      <w:proofErr w:type="spellStart"/>
      <w:r w:rsidRPr="00CC5A3D">
        <w:t>GenAI</w:t>
      </w:r>
      <w:proofErr w:type="spellEnd"/>
      <w:r w:rsidRPr="00CC5A3D">
        <w:t xml:space="preserve"> therefore depends partly on how teachers </w:t>
      </w:r>
      <w:proofErr w:type="spellStart"/>
      <w:r w:rsidRPr="00CC5A3D">
        <w:t>organise</w:t>
      </w:r>
      <w:proofErr w:type="spellEnd"/>
      <w:r w:rsidRPr="00CC5A3D">
        <w:t xml:space="preserve"> and support its use. This view provides a basis for examining teacher guidance in the present study.</w:t>
      </w:r>
    </w:p>
    <w:p w:rsidR="00B34B3F" w:rsidRPr="00CC5A3D" w:rsidRDefault="00B34B3F" w:rsidP="00D779AB">
      <w:pPr>
        <w:pStyle w:val="Heading3"/>
        <w:spacing w:line="360" w:lineRule="auto"/>
        <w:jc w:val="both"/>
        <w:rPr>
          <w:sz w:val="24"/>
          <w:szCs w:val="24"/>
        </w:rPr>
      </w:pPr>
      <w:r w:rsidRPr="00CC5A3D">
        <w:rPr>
          <w:sz w:val="24"/>
          <w:szCs w:val="24"/>
        </w:rPr>
        <w:t>2.5 Guided Learning and Scaffolding</w:t>
      </w:r>
    </w:p>
    <w:p w:rsidR="00B34B3F" w:rsidRPr="00CC5A3D" w:rsidRDefault="00B34B3F" w:rsidP="00D779AB">
      <w:pPr>
        <w:pStyle w:val="isselectedend"/>
        <w:spacing w:line="360" w:lineRule="auto"/>
        <w:jc w:val="both"/>
      </w:pPr>
      <w:r w:rsidRPr="00CC5A3D">
        <w:t xml:space="preserve">Scaffolding provides a useful theoretical lens for understanding teacher guidance in </w:t>
      </w:r>
      <w:proofErr w:type="spellStart"/>
      <w:r w:rsidRPr="00CC5A3D">
        <w:t>GenAI</w:t>
      </w:r>
      <w:proofErr w:type="spellEnd"/>
      <w:r w:rsidRPr="00CC5A3D">
        <w:t xml:space="preserve">-supported classrooms. Although </w:t>
      </w:r>
      <w:proofErr w:type="spellStart"/>
      <w:r w:rsidRPr="00CC5A3D">
        <w:t>GenAI</w:t>
      </w:r>
      <w:proofErr w:type="spellEnd"/>
      <w:r w:rsidRPr="00CC5A3D">
        <w:t xml:space="preserve"> gives learners quick access to explanations, examples, and feedback, receiving support does not necessarily mean that learning has taken place. Students still need to decide whether a response is useful, relate it to the task, and apply it to their own language production.</w:t>
      </w:r>
    </w:p>
    <w:p w:rsidR="00B34B3F" w:rsidRPr="00CC5A3D" w:rsidRDefault="00B34B3F" w:rsidP="00D779AB">
      <w:pPr>
        <w:pStyle w:val="isselectedend"/>
        <w:spacing w:line="360" w:lineRule="auto"/>
        <w:jc w:val="both"/>
      </w:pPr>
      <w:r w:rsidRPr="00CC5A3D">
        <w:t xml:space="preserve">This view draws on Vygotsky’s (1978) concept of the Zone of Proximal Development, which concerns the difference between what learners can do independently and what they can achieve with appropriate assistance. Wood et al. (1976) later used the term </w:t>
      </w:r>
      <w:r w:rsidRPr="00CC5A3D">
        <w:rPr>
          <w:rStyle w:val="Emphasis"/>
        </w:rPr>
        <w:t>scaffolding</w:t>
      </w:r>
      <w:r w:rsidRPr="00CC5A3D">
        <w:t xml:space="preserve"> to describe temporary support that helps learners complete a task they could not yet manage alone. As their ability develops, the support is gradually reduced and responsibility shifts back to the learner.</w:t>
      </w:r>
    </w:p>
    <w:p w:rsidR="00B34B3F" w:rsidRPr="00CC5A3D" w:rsidRDefault="00B34B3F" w:rsidP="00D779AB">
      <w:pPr>
        <w:pStyle w:val="isselectedend"/>
        <w:spacing w:line="360" w:lineRule="auto"/>
        <w:jc w:val="both"/>
      </w:pPr>
      <w:r w:rsidRPr="00CC5A3D">
        <w:lastRenderedPageBreak/>
        <w:t xml:space="preserve">In a </w:t>
      </w:r>
      <w:proofErr w:type="spellStart"/>
      <w:r w:rsidRPr="00CC5A3D">
        <w:t>GenAI</w:t>
      </w:r>
      <w:proofErr w:type="spellEnd"/>
      <w:r w:rsidRPr="00CC5A3D">
        <w:t xml:space="preserve">-supported EFL activity, scaffolding may begin with a clear learning goal and limits on how AI should be used. Teachers can model a prompt, show students how to check a response, or ask them to explain why they accepted or rejected an AI suggestion. For instance, </w:t>
      </w:r>
      <w:proofErr w:type="spellStart"/>
      <w:r w:rsidRPr="00CC5A3D">
        <w:t>GenAI</w:t>
      </w:r>
      <w:proofErr w:type="spellEnd"/>
      <w:r w:rsidRPr="00CC5A3D">
        <w:t xml:space="preserve"> might suggest changes to a paragraph, but students would still need to evaluate those changes and justify their final choices. The emphasis is therefore placed on the decisions students make, rather than simply on the quality of the response produced by the tool.</w:t>
      </w:r>
    </w:p>
    <w:p w:rsidR="00B34B3F" w:rsidRPr="00CC5A3D" w:rsidRDefault="00B34B3F" w:rsidP="00D779AB">
      <w:pPr>
        <w:pStyle w:val="NormalWeb"/>
        <w:spacing w:line="360" w:lineRule="auto"/>
        <w:jc w:val="both"/>
      </w:pPr>
      <w:r w:rsidRPr="00CC5A3D">
        <w:t xml:space="preserve">From this perspective, guidance and learner autonomy are not opposing ideas. Appropriate support can help students develop the judgement needed to work more independently over time. This requires teachers to adjust their support according to the task and the learners’ needs, while ensuring that </w:t>
      </w:r>
      <w:proofErr w:type="spellStart"/>
      <w:r w:rsidRPr="00CC5A3D">
        <w:t>GenAI</w:t>
      </w:r>
      <w:proofErr w:type="spellEnd"/>
      <w:r w:rsidRPr="00CC5A3D">
        <w:t xml:space="preserve"> does not take over the thinking or language production the activity is intended to develop (</w:t>
      </w:r>
      <w:proofErr w:type="spellStart"/>
      <w:r w:rsidRPr="00CC5A3D">
        <w:t>Kohnke</w:t>
      </w:r>
      <w:proofErr w:type="spellEnd"/>
      <w:r w:rsidRPr="00CC5A3D">
        <w:t xml:space="preserve"> et al., 2023b; </w:t>
      </w:r>
      <w:proofErr w:type="spellStart"/>
      <w:r w:rsidRPr="00CC5A3D">
        <w:t>Moorhouse</w:t>
      </w:r>
      <w:proofErr w:type="spellEnd"/>
      <w:r w:rsidRPr="00CC5A3D">
        <w:t xml:space="preserve"> et al., 2024).</w:t>
      </w:r>
    </w:p>
    <w:p w:rsidR="00B34B3F" w:rsidRPr="00CC5A3D" w:rsidRDefault="00B34B3F" w:rsidP="00D779AB">
      <w:pPr>
        <w:pStyle w:val="Heading3"/>
        <w:spacing w:line="360" w:lineRule="auto"/>
        <w:jc w:val="both"/>
        <w:rPr>
          <w:sz w:val="24"/>
          <w:szCs w:val="24"/>
        </w:rPr>
      </w:pPr>
      <w:r w:rsidRPr="00CC5A3D">
        <w:rPr>
          <w:sz w:val="24"/>
          <w:szCs w:val="24"/>
        </w:rPr>
        <w:t>2.6 Research Gap</w:t>
      </w:r>
    </w:p>
    <w:p w:rsidR="00B34B3F" w:rsidRPr="00CC5A3D" w:rsidRDefault="00B34B3F" w:rsidP="00D779AB">
      <w:pPr>
        <w:pStyle w:val="isselectedend"/>
        <w:spacing w:line="360" w:lineRule="auto"/>
        <w:jc w:val="both"/>
      </w:pPr>
      <w:r w:rsidRPr="00CC5A3D">
        <w:t xml:space="preserve">Taken together, the literature shows considerable interest in the possibilities and risks of </w:t>
      </w:r>
      <w:proofErr w:type="spellStart"/>
      <w:r w:rsidRPr="00CC5A3D">
        <w:t>GenAI</w:t>
      </w:r>
      <w:proofErr w:type="spellEnd"/>
      <w:r w:rsidRPr="00CC5A3D">
        <w:t xml:space="preserve"> in language education. However, three areas remain underexplored. First, much of the available research concerns writing, while there is less evidence about how </w:t>
      </w:r>
      <w:proofErr w:type="spellStart"/>
      <w:r w:rsidRPr="00CC5A3D">
        <w:t>GenAI</w:t>
      </w:r>
      <w:proofErr w:type="spellEnd"/>
      <w:r w:rsidRPr="00CC5A3D">
        <w:t xml:space="preserve"> is used in vocabulary, grammar, reading, idea generation, and speaking activities (Law, 2024; Lo et al., 2024). Second, studies of teachers have often examined their readiness or professional competence rather than the decisions they make when planning and managing specific AI-supported tasks (</w:t>
      </w:r>
      <w:proofErr w:type="spellStart"/>
      <w:r w:rsidRPr="00CC5A3D">
        <w:t>Kohnke</w:t>
      </w:r>
      <w:proofErr w:type="spellEnd"/>
      <w:r w:rsidRPr="00CC5A3D">
        <w:t xml:space="preserve"> et al., 2023b; </w:t>
      </w:r>
      <w:proofErr w:type="spellStart"/>
      <w:r w:rsidRPr="00CC5A3D">
        <w:t>Moorhouse</w:t>
      </w:r>
      <w:proofErr w:type="spellEnd"/>
      <w:r w:rsidRPr="00CC5A3D">
        <w:t xml:space="preserve"> et al., 2024).</w:t>
      </w:r>
    </w:p>
    <w:p w:rsidR="00B34B3F" w:rsidRPr="00CC5A3D" w:rsidRDefault="00B34B3F" w:rsidP="00D779AB">
      <w:pPr>
        <w:pStyle w:val="isselectedend"/>
        <w:spacing w:line="360" w:lineRule="auto"/>
        <w:jc w:val="both"/>
      </w:pPr>
      <w:r w:rsidRPr="00CC5A3D">
        <w:t>A further gap concerns how broad ideas such as responsible use, human agency, and scaffolding can be applied in everyday teaching. Teachers need to make practical decisions about when AI support is helpful, what students should do independently, how its responses should be checked, and when guidance should be reduced. These decisions may also differ across language-learning activities. Guidance that works well for writing feedback, for example, may not be equally suitable for speaking practice or vocabulary learning.</w:t>
      </w:r>
    </w:p>
    <w:p w:rsidR="00B34B3F" w:rsidRPr="00CC5A3D" w:rsidRDefault="00B34B3F" w:rsidP="00D779AB">
      <w:pPr>
        <w:pStyle w:val="NormalWeb"/>
        <w:spacing w:line="360" w:lineRule="auto"/>
        <w:jc w:val="both"/>
      </w:pPr>
      <w:r w:rsidRPr="00CC5A3D">
        <w:t xml:space="preserve">The present study addresses these gaps through task-based semi-structured interviews with 15 university EFL teachers from three universities in Vietnam. By asking teachers to respond to six specific classroom tasks, the study moves beyond general attitudes towards </w:t>
      </w:r>
      <w:proofErr w:type="spellStart"/>
      <w:r w:rsidRPr="00CC5A3D">
        <w:t>GenAI</w:t>
      </w:r>
      <w:proofErr w:type="spellEnd"/>
      <w:r w:rsidRPr="00CC5A3D">
        <w:t xml:space="preserve"> and examines their pedagogical reasoning in context. It aims to identify both task-specific strategies and broader principles for using </w:t>
      </w:r>
      <w:proofErr w:type="spellStart"/>
      <w:r w:rsidRPr="00CC5A3D">
        <w:t>GenAI</w:t>
      </w:r>
      <w:proofErr w:type="spellEnd"/>
      <w:r w:rsidRPr="00CC5A3D">
        <w:t xml:space="preserve"> without replacing students’ own thinking and language production.</w:t>
      </w:r>
    </w:p>
    <w:p w:rsidR="00725573" w:rsidRPr="00CC5A3D" w:rsidRDefault="00725573" w:rsidP="00D779AB">
      <w:pPr>
        <w:pStyle w:val="NormalWeb"/>
        <w:spacing w:line="360" w:lineRule="auto"/>
        <w:jc w:val="both"/>
      </w:pPr>
    </w:p>
    <w:p w:rsidR="00725573" w:rsidRPr="00CC5A3D" w:rsidRDefault="00725573" w:rsidP="00D779AB">
      <w:pPr>
        <w:pStyle w:val="NormalWeb"/>
        <w:spacing w:line="360" w:lineRule="auto"/>
        <w:jc w:val="both"/>
        <w:rPr>
          <w:b/>
        </w:rPr>
      </w:pPr>
      <w:r w:rsidRPr="00CC5A3D">
        <w:rPr>
          <w:b/>
        </w:rPr>
        <w:lastRenderedPageBreak/>
        <w:t>3. Methodology</w:t>
      </w:r>
    </w:p>
    <w:p w:rsidR="00B34B3F" w:rsidRPr="00CC5A3D" w:rsidRDefault="00B34B3F" w:rsidP="00D779AB">
      <w:pPr>
        <w:pStyle w:val="Heading3"/>
        <w:spacing w:line="360" w:lineRule="auto"/>
        <w:jc w:val="both"/>
        <w:rPr>
          <w:sz w:val="24"/>
          <w:szCs w:val="24"/>
        </w:rPr>
      </w:pPr>
      <w:r w:rsidRPr="00CC5A3D">
        <w:rPr>
          <w:sz w:val="24"/>
          <w:szCs w:val="24"/>
        </w:rPr>
        <w:t>3.1 Research Design</w:t>
      </w:r>
    </w:p>
    <w:p w:rsidR="00F26CD4" w:rsidRPr="00CC5A3D" w:rsidRDefault="00F26CD4" w:rsidP="00D779AB">
      <w:pPr>
        <w:pStyle w:val="isselectedend"/>
        <w:spacing w:line="360" w:lineRule="auto"/>
      </w:pPr>
      <w:r w:rsidRPr="00CC5A3D">
        <w:t xml:space="preserve">This study used an exploratory qualitative design to examine how university EFL teachers understood the effective and responsible use of </w:t>
      </w:r>
      <w:proofErr w:type="spellStart"/>
      <w:r w:rsidRPr="00CC5A3D">
        <w:t>GenAI</w:t>
      </w:r>
      <w:proofErr w:type="spellEnd"/>
      <w:r w:rsidRPr="00CC5A3D">
        <w:t xml:space="preserve">. A qualitative approach was appropriate because the study focused on teachers’ experiences, classroom decisions, and pedagogical reasoning rather than changes in students’ language performance (Creswell &amp; </w:t>
      </w:r>
      <w:proofErr w:type="spellStart"/>
      <w:r w:rsidRPr="00CC5A3D">
        <w:t>Poth</w:t>
      </w:r>
      <w:proofErr w:type="spellEnd"/>
      <w:r w:rsidRPr="00CC5A3D">
        <w:t>, 2018).</w:t>
      </w:r>
    </w:p>
    <w:p w:rsidR="00F26CD4" w:rsidRPr="00CC5A3D" w:rsidRDefault="00F26CD4" w:rsidP="00D779AB">
      <w:pPr>
        <w:pStyle w:val="isselectedend"/>
        <w:spacing w:line="360" w:lineRule="auto"/>
      </w:pPr>
      <w:r w:rsidRPr="00CC5A3D">
        <w:t xml:space="preserve">Data were collected through semi-structured interviews </w:t>
      </w:r>
      <w:proofErr w:type="spellStart"/>
      <w:r w:rsidRPr="00CC5A3D">
        <w:t>organised</w:t>
      </w:r>
      <w:proofErr w:type="spellEnd"/>
      <w:r w:rsidRPr="00CC5A3D">
        <w:t xml:space="preserve"> around six classroom tasks. This format provided a common focus across the interviews while allowing participants to explain their views and the researcher to ask follow-up questions (</w:t>
      </w:r>
      <w:proofErr w:type="spellStart"/>
      <w:r w:rsidRPr="00CC5A3D">
        <w:t>Kallio</w:t>
      </w:r>
      <w:proofErr w:type="spellEnd"/>
      <w:r w:rsidRPr="00CC5A3D">
        <w:t xml:space="preserve"> et al., 2016). The tasks covered vocabulary, grammar, writing feedback, idea generation, reading comprehension, and speaking practice. For each task, teachers considered how </w:t>
      </w:r>
      <w:proofErr w:type="spellStart"/>
      <w:r w:rsidRPr="00CC5A3D">
        <w:t>GenAI</w:t>
      </w:r>
      <w:proofErr w:type="spellEnd"/>
      <w:r w:rsidRPr="00CC5A3D">
        <w:t xml:space="preserve"> could be used, what students should complete independently, and what guidance or safeguards were needed.</w:t>
      </w:r>
    </w:p>
    <w:p w:rsidR="00F26CD4" w:rsidRPr="00CC5A3D" w:rsidRDefault="00F26CD4" w:rsidP="00D779AB">
      <w:pPr>
        <w:pStyle w:val="NormalWeb"/>
        <w:spacing w:line="360" w:lineRule="auto"/>
      </w:pPr>
      <w:r w:rsidRPr="00CC5A3D">
        <w:t xml:space="preserve">The use of specific tasks moved the discussion beyond general attitudes towards </w:t>
      </w:r>
      <w:proofErr w:type="spellStart"/>
      <w:r w:rsidRPr="00CC5A3D">
        <w:t>GenAI</w:t>
      </w:r>
      <w:proofErr w:type="spellEnd"/>
      <w:r w:rsidRPr="00CC5A3D">
        <w:t xml:space="preserve">. Each task gave participants a concrete situation in which to explain what they would do and why. Their responses were then compared across teachers and language-learning activities. The study aimed to identify practical strategies and broader principles for teacher-guided </w:t>
      </w:r>
      <w:proofErr w:type="spellStart"/>
      <w:r w:rsidRPr="00CC5A3D">
        <w:t>GenAI</w:t>
      </w:r>
      <w:proofErr w:type="spellEnd"/>
      <w:r w:rsidRPr="00CC5A3D">
        <w:t xml:space="preserve"> use; it did not test whether </w:t>
      </w:r>
      <w:proofErr w:type="spellStart"/>
      <w:r w:rsidRPr="00CC5A3D">
        <w:t>GenAI</w:t>
      </w:r>
      <w:proofErr w:type="spellEnd"/>
      <w:r w:rsidRPr="00CC5A3D">
        <w:t xml:space="preserve"> improved language proficiency.</w:t>
      </w:r>
    </w:p>
    <w:p w:rsidR="00B34B3F" w:rsidRPr="00CC5A3D" w:rsidRDefault="00B34B3F" w:rsidP="00D779A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t>3.2 Participants</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The participants were 15 Vietnamese university EFL teachers from three universities, with five teachers recruited from each institution. Purposive sampling was used to select participants whose teaching experience and use of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were relevant to the research questions.</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Participants met the following criteria:</w:t>
      </w:r>
    </w:p>
    <w:p w:rsidR="00B34B3F" w:rsidRPr="00CC5A3D" w:rsidRDefault="00B34B3F" w:rsidP="00D779AB">
      <w:pPr>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CC5A3D">
        <w:rPr>
          <w:rFonts w:ascii="Times New Roman" w:eastAsia="Times New Roman" w:hAnsi="Times New Roman" w:cs="Times New Roman"/>
          <w:sz w:val="24"/>
          <w:szCs w:val="24"/>
        </w:rPr>
        <w:t>were</w:t>
      </w:r>
      <w:proofErr w:type="spellEnd"/>
      <w:r w:rsidRPr="00CC5A3D">
        <w:rPr>
          <w:rFonts w:ascii="Times New Roman" w:eastAsia="Times New Roman" w:hAnsi="Times New Roman" w:cs="Times New Roman"/>
          <w:sz w:val="24"/>
          <w:szCs w:val="24"/>
        </w:rPr>
        <w:t xml:space="preserve"> teaching English at a university;</w:t>
      </w:r>
    </w:p>
    <w:p w:rsidR="00B34B3F" w:rsidRPr="00CC5A3D" w:rsidRDefault="00B34B3F" w:rsidP="00D779AB">
      <w:pPr>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had at least two years of EFL teaching experience; and</w:t>
      </w:r>
    </w:p>
    <w:p w:rsidR="00B34B3F" w:rsidRPr="00CC5A3D" w:rsidRDefault="00B34B3F" w:rsidP="00D779AB">
      <w:pPr>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had used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for a teaching-related purpose, such as lesson planning, materials development, feedback, or classroom activities.</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lastRenderedPageBreak/>
        <w:t xml:space="preserve">The sample included variation in teaching experience, courses taught, and familiarity with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This allowed the study to capture perspectives from teachers with different levels of experience rather than only frequent or highly confident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users. Given the focused research questions, the specific participant group, and the use of task-based interviews, the sample was considered sufficient to provide the information power needed for the analysis (</w:t>
      </w:r>
      <w:proofErr w:type="spellStart"/>
      <w:r w:rsidRPr="00CC5A3D">
        <w:rPr>
          <w:rFonts w:ascii="Times New Roman" w:eastAsia="Times New Roman" w:hAnsi="Times New Roman" w:cs="Times New Roman"/>
          <w:sz w:val="24"/>
          <w:szCs w:val="24"/>
        </w:rPr>
        <w:t>Malterud</w:t>
      </w:r>
      <w:proofErr w:type="spellEnd"/>
      <w:r w:rsidRPr="00CC5A3D">
        <w:rPr>
          <w:rFonts w:ascii="Times New Roman" w:eastAsia="Times New Roman" w:hAnsi="Times New Roman" w:cs="Times New Roman"/>
          <w:sz w:val="24"/>
          <w:szCs w:val="24"/>
        </w:rPr>
        <w:t xml:space="preserve"> et al., 2016).</w:t>
      </w:r>
    </w:p>
    <w:p w:rsidR="00B34B3F" w:rsidRPr="00CC5A3D" w:rsidRDefault="00B34B3F"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Participation was voluntary, and all participants provided informed consent before the interviews. </w:t>
      </w:r>
      <w:r w:rsidR="003E06E4" w:rsidRPr="00CC5A3D">
        <w:rPr>
          <w:rFonts w:ascii="Times New Roman" w:hAnsi="Times New Roman" w:cs="Times New Roman"/>
          <w:sz w:val="24"/>
          <w:szCs w:val="24"/>
        </w:rPr>
        <w:t>Each participant was assigned a combined code indicating the teacher number and institution; for example, T03_UA refers to Teacher 03 from University A.</w:t>
      </w:r>
    </w:p>
    <w:p w:rsidR="00B34B3F" w:rsidRPr="00CC5A3D" w:rsidRDefault="00B34B3F" w:rsidP="00D779AB">
      <w:pPr>
        <w:pStyle w:val="Heading3"/>
        <w:spacing w:line="360" w:lineRule="auto"/>
        <w:jc w:val="both"/>
        <w:rPr>
          <w:sz w:val="24"/>
          <w:szCs w:val="24"/>
        </w:rPr>
      </w:pPr>
      <w:r w:rsidRPr="00CC5A3D">
        <w:rPr>
          <w:sz w:val="24"/>
          <w:szCs w:val="24"/>
        </w:rPr>
        <w:t>3.3 Interview Tasks</w:t>
      </w:r>
    </w:p>
    <w:p w:rsidR="00B34B3F" w:rsidRPr="00CC5A3D" w:rsidRDefault="00B34B3F" w:rsidP="00D779AB">
      <w:pPr>
        <w:pStyle w:val="isselectedend"/>
        <w:spacing w:line="360" w:lineRule="auto"/>
        <w:jc w:val="both"/>
      </w:pPr>
      <w:r w:rsidRPr="00CC5A3D">
        <w:t xml:space="preserve">All participants responded to the same six classroom scenarios, which allowed their views to be compared across interviews. Each scenario contained a short EFL activity, a prompt given to </w:t>
      </w:r>
      <w:proofErr w:type="spellStart"/>
      <w:r w:rsidRPr="00CC5A3D">
        <w:t>GenAI</w:t>
      </w:r>
      <w:proofErr w:type="spellEnd"/>
      <w:r w:rsidRPr="00CC5A3D">
        <w:t>, and a sample AI-generated response. The tasks reflected common university EFL activities and were developed in relation to the research questions.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11"/>
        <w:gridCol w:w="4009"/>
        <w:gridCol w:w="4016"/>
      </w:tblGrid>
      <w:tr w:rsidR="00B34B3F" w:rsidRPr="00CC5A3D" w:rsidTr="00B34B3F">
        <w:trPr>
          <w:tblCellSpacing w:w="15" w:type="dxa"/>
        </w:trPr>
        <w:tc>
          <w:tcPr>
            <w:tcW w:w="0" w:type="auto"/>
            <w:vAlign w:val="center"/>
            <w:hideMark/>
          </w:tcPr>
          <w:p w:rsidR="00B34B3F" w:rsidRPr="00CC5A3D" w:rsidRDefault="00B34B3F" w:rsidP="00D779AB">
            <w:pPr>
              <w:spacing w:line="360" w:lineRule="auto"/>
              <w:jc w:val="both"/>
              <w:rPr>
                <w:rFonts w:ascii="Times New Roman" w:hAnsi="Times New Roman" w:cs="Times New Roman"/>
                <w:b/>
                <w:bCs/>
                <w:sz w:val="24"/>
                <w:szCs w:val="24"/>
              </w:rPr>
            </w:pPr>
            <w:r w:rsidRPr="00CC5A3D">
              <w:rPr>
                <w:rFonts w:ascii="Times New Roman" w:hAnsi="Times New Roman" w:cs="Times New Roman"/>
                <w:b/>
                <w:bCs/>
                <w:sz w:val="24"/>
                <w:szCs w:val="24"/>
              </w:rPr>
              <w:t>Task area</w:t>
            </w:r>
          </w:p>
        </w:tc>
        <w:tc>
          <w:tcPr>
            <w:tcW w:w="0" w:type="auto"/>
            <w:vAlign w:val="center"/>
            <w:hideMark/>
          </w:tcPr>
          <w:p w:rsidR="00B34B3F" w:rsidRPr="00CC5A3D" w:rsidRDefault="00B34B3F" w:rsidP="00D779AB">
            <w:pPr>
              <w:spacing w:line="360" w:lineRule="auto"/>
              <w:jc w:val="both"/>
              <w:rPr>
                <w:rFonts w:ascii="Times New Roman" w:hAnsi="Times New Roman" w:cs="Times New Roman"/>
                <w:b/>
                <w:bCs/>
                <w:sz w:val="24"/>
                <w:szCs w:val="24"/>
              </w:rPr>
            </w:pPr>
            <w:proofErr w:type="spellStart"/>
            <w:r w:rsidRPr="00CC5A3D">
              <w:rPr>
                <w:rFonts w:ascii="Times New Roman" w:hAnsi="Times New Roman" w:cs="Times New Roman"/>
                <w:b/>
                <w:bCs/>
                <w:sz w:val="24"/>
                <w:szCs w:val="24"/>
              </w:rPr>
              <w:t>GenAI</w:t>
            </w:r>
            <w:proofErr w:type="spellEnd"/>
            <w:r w:rsidRPr="00CC5A3D">
              <w:rPr>
                <w:rFonts w:ascii="Times New Roman" w:hAnsi="Times New Roman" w:cs="Times New Roman"/>
                <w:b/>
                <w:bCs/>
                <w:sz w:val="24"/>
                <w:szCs w:val="24"/>
              </w:rPr>
              <w:t xml:space="preserve"> activity</w:t>
            </w:r>
          </w:p>
        </w:tc>
        <w:tc>
          <w:tcPr>
            <w:tcW w:w="0" w:type="auto"/>
            <w:vAlign w:val="center"/>
            <w:hideMark/>
          </w:tcPr>
          <w:p w:rsidR="00B34B3F" w:rsidRPr="00CC5A3D" w:rsidRDefault="00B34B3F" w:rsidP="00D779AB">
            <w:pPr>
              <w:spacing w:line="360" w:lineRule="auto"/>
              <w:jc w:val="both"/>
              <w:rPr>
                <w:rFonts w:ascii="Times New Roman" w:hAnsi="Times New Roman" w:cs="Times New Roman"/>
                <w:b/>
                <w:bCs/>
                <w:sz w:val="24"/>
                <w:szCs w:val="24"/>
              </w:rPr>
            </w:pPr>
            <w:r w:rsidRPr="00CC5A3D">
              <w:rPr>
                <w:rFonts w:ascii="Times New Roman" w:hAnsi="Times New Roman" w:cs="Times New Roman"/>
                <w:b/>
                <w:bCs/>
                <w:sz w:val="24"/>
                <w:szCs w:val="24"/>
              </w:rPr>
              <w:t>Main interview focus</w:t>
            </w:r>
          </w:p>
        </w:tc>
      </w:tr>
      <w:tr w:rsidR="00B34B3F" w:rsidRPr="00CC5A3D" w:rsidTr="00B34B3F">
        <w:trPr>
          <w:tblCellSpacing w:w="15" w:type="dxa"/>
        </w:trPr>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Vocabulary</w:t>
            </w:r>
          </w:p>
        </w:tc>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Generating meanings, collocations, and example sentences for target words</w:t>
            </w:r>
          </w:p>
        </w:tc>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Accuracy, suitability for learners, and teacher guidance</w:t>
            </w:r>
          </w:p>
        </w:tc>
      </w:tr>
      <w:tr w:rsidR="00B34B3F" w:rsidRPr="00CC5A3D" w:rsidTr="00B34B3F">
        <w:trPr>
          <w:tblCellSpacing w:w="15" w:type="dxa"/>
        </w:trPr>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Grammar</w:t>
            </w:r>
          </w:p>
        </w:tc>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Identifying and explaining errors in sample sentences</w:t>
            </w:r>
          </w:p>
        </w:tc>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Quality of explanations and the need for learner reflection</w:t>
            </w:r>
          </w:p>
        </w:tc>
      </w:tr>
      <w:tr w:rsidR="00B34B3F" w:rsidRPr="00CC5A3D" w:rsidTr="00B34B3F">
        <w:trPr>
          <w:tblCellSpacing w:w="15" w:type="dxa"/>
        </w:trPr>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Writing feedback</w:t>
            </w:r>
          </w:p>
        </w:tc>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Providing feedback on a short student paragraph</w:t>
            </w:r>
          </w:p>
        </w:tc>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Revision, authorship, and appropriate use of AI feedback</w:t>
            </w:r>
          </w:p>
        </w:tc>
      </w:tr>
      <w:tr w:rsidR="00B34B3F" w:rsidRPr="00CC5A3D" w:rsidTr="00B34B3F">
        <w:trPr>
          <w:tblCellSpacing w:w="15" w:type="dxa"/>
        </w:trPr>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Idea generation</w:t>
            </w:r>
          </w:p>
        </w:tc>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Suggesting ideas for an essay or discussion topic</w:t>
            </w:r>
          </w:p>
        </w:tc>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Support for creativity and the risk of replacing students’ thinking</w:t>
            </w:r>
          </w:p>
        </w:tc>
      </w:tr>
      <w:tr w:rsidR="00B34B3F" w:rsidRPr="00CC5A3D" w:rsidTr="00B34B3F">
        <w:trPr>
          <w:tblCellSpacing w:w="15" w:type="dxa"/>
        </w:trPr>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Reading comprehension</w:t>
            </w:r>
          </w:p>
        </w:tc>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proofErr w:type="spellStart"/>
            <w:r w:rsidRPr="00CC5A3D">
              <w:rPr>
                <w:rFonts w:ascii="Times New Roman" w:hAnsi="Times New Roman" w:cs="Times New Roman"/>
                <w:sz w:val="24"/>
                <w:szCs w:val="24"/>
              </w:rPr>
              <w:t>Summarising</w:t>
            </w:r>
            <w:proofErr w:type="spellEnd"/>
            <w:r w:rsidRPr="00CC5A3D">
              <w:rPr>
                <w:rFonts w:ascii="Times New Roman" w:hAnsi="Times New Roman" w:cs="Times New Roman"/>
                <w:sz w:val="24"/>
                <w:szCs w:val="24"/>
              </w:rPr>
              <w:t xml:space="preserve"> a text and generating comprehension questions</w:t>
            </w:r>
          </w:p>
        </w:tc>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Accessibility, accuracy, and possible oversimplification</w:t>
            </w:r>
          </w:p>
        </w:tc>
      </w:tr>
      <w:tr w:rsidR="00B34B3F" w:rsidRPr="00CC5A3D" w:rsidTr="00B34B3F">
        <w:trPr>
          <w:tblCellSpacing w:w="15" w:type="dxa"/>
        </w:trPr>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Speaking practice</w:t>
            </w:r>
          </w:p>
        </w:tc>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Acting as a conversation partner in a role-play</w:t>
            </w:r>
          </w:p>
        </w:tc>
        <w:tc>
          <w:tcPr>
            <w:tcW w:w="0" w:type="auto"/>
            <w:vAlign w:val="center"/>
            <w:hideMark/>
          </w:tcPr>
          <w:p w:rsidR="00B34B3F" w:rsidRPr="00CC5A3D" w:rsidRDefault="00B34B3F" w:rsidP="00D779AB">
            <w:pPr>
              <w:spacing w:line="360" w:lineRule="auto"/>
              <w:jc w:val="both"/>
              <w:rPr>
                <w:rFonts w:ascii="Times New Roman" w:hAnsi="Times New Roman" w:cs="Times New Roman"/>
                <w:sz w:val="24"/>
                <w:szCs w:val="24"/>
              </w:rPr>
            </w:pPr>
            <w:r w:rsidRPr="00CC5A3D">
              <w:rPr>
                <w:rFonts w:ascii="Times New Roman" w:hAnsi="Times New Roman" w:cs="Times New Roman"/>
                <w:sz w:val="24"/>
                <w:szCs w:val="24"/>
              </w:rPr>
              <w:t>Interaction, corrective feedback, confidence, and independent speaking</w:t>
            </w:r>
          </w:p>
        </w:tc>
      </w:tr>
    </w:tbl>
    <w:p w:rsidR="00B34B3F" w:rsidRPr="00CC5A3D" w:rsidRDefault="00B34B3F" w:rsidP="00D779AB">
      <w:pPr>
        <w:pStyle w:val="NormalWeb"/>
        <w:spacing w:line="360" w:lineRule="auto"/>
        <w:jc w:val="both"/>
      </w:pPr>
      <w:r w:rsidRPr="00CC5A3D">
        <w:lastRenderedPageBreak/>
        <w:t xml:space="preserve">After each task, participants were asked how </w:t>
      </w:r>
      <w:proofErr w:type="spellStart"/>
      <w:r w:rsidRPr="00CC5A3D">
        <w:t>GenAI</w:t>
      </w:r>
      <w:proofErr w:type="spellEnd"/>
      <w:r w:rsidRPr="00CC5A3D">
        <w:t xml:space="preserve"> could support learning, what guidance a teacher should provide, which parts students should complete independently, and what risks might arise. The tasks were not used to test participants’ technological ability. Instead, they provided concrete situations in which teachers could explain their classroom decisions and the reasons behind them.</w:t>
      </w:r>
    </w:p>
    <w:p w:rsidR="00B34B3F" w:rsidRPr="00CC5A3D" w:rsidRDefault="00B34B3F" w:rsidP="00D779AB">
      <w:pPr>
        <w:pStyle w:val="Heading3"/>
        <w:spacing w:line="360" w:lineRule="auto"/>
        <w:jc w:val="both"/>
        <w:rPr>
          <w:sz w:val="24"/>
          <w:szCs w:val="24"/>
        </w:rPr>
      </w:pPr>
      <w:r w:rsidRPr="00CC5A3D">
        <w:rPr>
          <w:sz w:val="24"/>
          <w:szCs w:val="24"/>
        </w:rPr>
        <w:t>3.4 Data Collection Procedure</w:t>
      </w:r>
    </w:p>
    <w:p w:rsidR="00B34B3F" w:rsidRPr="00CC5A3D" w:rsidRDefault="00B34B3F" w:rsidP="00D779AB">
      <w:pPr>
        <w:pStyle w:val="isselectedend"/>
        <w:spacing w:line="360" w:lineRule="auto"/>
        <w:jc w:val="both"/>
      </w:pPr>
      <w:r w:rsidRPr="00CC5A3D">
        <w:t>Before the main study, the interview materials were piloted with two university EFL teachers who were not included in the final sample. Their feedback was used to revise the wording and order of the interview questions and to improve the clarity of the six task scenarios.</w:t>
      </w:r>
    </w:p>
    <w:p w:rsidR="00B34B3F" w:rsidRPr="00CC5A3D" w:rsidRDefault="00B34B3F" w:rsidP="00D779AB">
      <w:pPr>
        <w:pStyle w:val="isselectedend"/>
        <w:spacing w:line="360" w:lineRule="auto"/>
        <w:jc w:val="both"/>
      </w:pPr>
      <w:r w:rsidRPr="00CC5A3D">
        <w:t>The main interviews were conducted either online through Zoom or Microsoft Teams or face-to-face at the participants’ universities, depending on their availability. Each interview lasted approximately 45–60 minutes. During the interviews, the task scenarios were presented through screen sharing or printed stimulus sheets. Participants could respond in Vietnamese or English so that they could explain their experiences and pedagogical reasoning comfortably.</w:t>
      </w:r>
    </w:p>
    <w:p w:rsidR="00B34B3F" w:rsidRPr="00CC5A3D" w:rsidRDefault="00B34B3F" w:rsidP="00D779AB">
      <w:pPr>
        <w:pStyle w:val="isselectedend"/>
        <w:spacing w:line="360" w:lineRule="auto"/>
        <w:jc w:val="both"/>
      </w:pPr>
      <w:r w:rsidRPr="00CC5A3D">
        <w:t xml:space="preserve">Before each interview, participants received information about the study and provided written informed consent. With their permission, all interviews were audio-recorded and later transcribed verbatim. Interviews conducted in Vietnamese were transcribed and initially </w:t>
      </w:r>
      <w:proofErr w:type="spellStart"/>
      <w:r w:rsidRPr="00CC5A3D">
        <w:t>analysed</w:t>
      </w:r>
      <w:proofErr w:type="spellEnd"/>
      <w:r w:rsidRPr="00CC5A3D">
        <w:t xml:space="preserve"> in Vietnamese. Extracts selected for inclusion in the report were then translated into English and checked against the original transcripts to preserve their meaning.</w:t>
      </w:r>
    </w:p>
    <w:p w:rsidR="00B34B3F" w:rsidRPr="00CC5A3D" w:rsidRDefault="00B34B3F" w:rsidP="00D779AB">
      <w:pPr>
        <w:pStyle w:val="Heading3"/>
        <w:spacing w:line="360" w:lineRule="auto"/>
        <w:jc w:val="both"/>
        <w:rPr>
          <w:sz w:val="24"/>
          <w:szCs w:val="24"/>
        </w:rPr>
      </w:pPr>
      <w:r w:rsidRPr="00CC5A3D">
        <w:rPr>
          <w:sz w:val="24"/>
          <w:szCs w:val="24"/>
        </w:rPr>
        <w:t>3.5 Data Analysis</w:t>
      </w:r>
    </w:p>
    <w:p w:rsidR="00B34B3F" w:rsidRPr="00CC5A3D" w:rsidRDefault="00B34B3F" w:rsidP="00D779AB">
      <w:pPr>
        <w:pStyle w:val="isselectedend"/>
        <w:spacing w:line="360" w:lineRule="auto"/>
        <w:jc w:val="both"/>
      </w:pPr>
      <w:r w:rsidRPr="00CC5A3D">
        <w:t xml:space="preserve">The interview transcripts were </w:t>
      </w:r>
      <w:proofErr w:type="spellStart"/>
      <w:r w:rsidRPr="00CC5A3D">
        <w:t>analysed</w:t>
      </w:r>
      <w:proofErr w:type="spellEnd"/>
      <w:r w:rsidRPr="00CC5A3D">
        <w:t xml:space="preserve"> using reflexive thematic analysis, </w:t>
      </w:r>
      <w:r w:rsidR="003E06E4" w:rsidRPr="00CC5A3D">
        <w:t>following the six-phase approach developed by Braun and Clarke (2006, 2019)</w:t>
      </w:r>
      <w:r w:rsidRPr="00CC5A3D">
        <w:t>. The analysis began with repeated reading of the transcripts and listening to the recordings. Notes were made about recurring ideas, differences between participants, and responses that appeared relevant to the research questions.</w:t>
      </w:r>
    </w:p>
    <w:p w:rsidR="00B34B3F" w:rsidRPr="00CC5A3D" w:rsidRDefault="00B34B3F" w:rsidP="00D779AB">
      <w:pPr>
        <w:pStyle w:val="isselectedend"/>
        <w:spacing w:line="360" w:lineRule="auto"/>
        <w:jc w:val="both"/>
      </w:pPr>
      <w:r w:rsidRPr="00CC5A3D">
        <w:t xml:space="preserve">The transcripts were then coded with the support of </w:t>
      </w:r>
      <w:proofErr w:type="spellStart"/>
      <w:r w:rsidRPr="00CC5A3D">
        <w:t>NVivo</w:t>
      </w:r>
      <w:proofErr w:type="spellEnd"/>
      <w:r w:rsidRPr="00CC5A3D">
        <w:t xml:space="preserve">. Some codes reflected the main concerns of the study, including learning support, teacher guidance, learner independence, and overreliance. Other codes were developed from issues raised by the participants themselves. </w:t>
      </w:r>
      <w:proofErr w:type="spellStart"/>
      <w:r w:rsidRPr="00CC5A3D">
        <w:t>NVivo</w:t>
      </w:r>
      <w:proofErr w:type="spellEnd"/>
      <w:r w:rsidRPr="00CC5A3D">
        <w:t xml:space="preserve"> was used to </w:t>
      </w:r>
      <w:proofErr w:type="spellStart"/>
      <w:r w:rsidRPr="00CC5A3D">
        <w:t>organise</w:t>
      </w:r>
      <w:proofErr w:type="spellEnd"/>
      <w:r w:rsidRPr="00CC5A3D">
        <w:t xml:space="preserve"> the transcripts, codes, and developing themes, while the interpretation of the data remained the responsibility of the researcher.</w:t>
      </w:r>
    </w:p>
    <w:p w:rsidR="00B34B3F" w:rsidRPr="00CC5A3D" w:rsidRDefault="00B34B3F" w:rsidP="00D779AB">
      <w:pPr>
        <w:pStyle w:val="isselectedend"/>
        <w:spacing w:line="360" w:lineRule="auto"/>
        <w:jc w:val="both"/>
      </w:pPr>
      <w:r w:rsidRPr="00CC5A3D">
        <w:lastRenderedPageBreak/>
        <w:t>Related codes were brought together to form candidate themes. Responses were considered both within individual interviews and across the six task areas. This made it possible to identify broad patterns in teachers’ views while also examining whether their decisions differed across vocabulary, grammar, writing, idea generation, reading, and speaking activities.</w:t>
      </w:r>
    </w:p>
    <w:p w:rsidR="00B34B3F" w:rsidRPr="00CC5A3D" w:rsidRDefault="00B34B3F" w:rsidP="00D779AB">
      <w:pPr>
        <w:pStyle w:val="NormalWeb"/>
        <w:spacing w:line="360" w:lineRule="auto"/>
        <w:jc w:val="both"/>
      </w:pPr>
      <w:r w:rsidRPr="00CC5A3D">
        <w:t>The candidate themes were reviewed against the coded extracts and the full dataset. Themes were combined, separated, or renamed when necessary, and comments that differed from the main pattern were retained where they added to the interpretation. Once the themes had been defined, representative extracts were selected to show how each interpretation was grounded in the participants’ accounts. The final report connected these themes with the research questions and with the study’s theoretical focus on scaffolding and the Zone of Proximal Development.</w:t>
      </w:r>
    </w:p>
    <w:p w:rsidR="007F6529" w:rsidRPr="00CC5A3D" w:rsidRDefault="007F6529" w:rsidP="00D779AB">
      <w:pPr>
        <w:pStyle w:val="Heading3"/>
        <w:spacing w:line="360" w:lineRule="auto"/>
        <w:jc w:val="both"/>
        <w:rPr>
          <w:sz w:val="24"/>
          <w:szCs w:val="24"/>
        </w:rPr>
      </w:pPr>
      <w:r w:rsidRPr="00CC5A3D">
        <w:rPr>
          <w:sz w:val="24"/>
          <w:szCs w:val="24"/>
        </w:rPr>
        <w:t>3.6 Trustworthiness and Ethical Considerations</w:t>
      </w:r>
    </w:p>
    <w:p w:rsidR="007F6529" w:rsidRPr="00CC5A3D" w:rsidRDefault="007F6529" w:rsidP="00D779AB">
      <w:pPr>
        <w:pStyle w:val="isselectedend"/>
        <w:spacing w:line="360" w:lineRule="auto"/>
        <w:jc w:val="both"/>
      </w:pPr>
      <w:r w:rsidRPr="00CC5A3D">
        <w:t xml:space="preserve">The trustworthiness of the study was addressed through credibility, transferability, dependability, and confirmability, drawing on the criteria proposed by Lincoln and </w:t>
      </w:r>
      <w:proofErr w:type="spellStart"/>
      <w:r w:rsidRPr="00CC5A3D">
        <w:t>Guba</w:t>
      </w:r>
      <w:proofErr w:type="spellEnd"/>
      <w:r w:rsidRPr="00CC5A3D">
        <w:t xml:space="preserve"> (1985). Credibility was supported by using the same core interview procedure with all participants, asking follow-up questions, and comparing teachers’ responses across the six task areas. Participants were also invited to review a brief summary of their interviews and clarify any points that did not reflect their intended meaning.</w:t>
      </w:r>
    </w:p>
    <w:p w:rsidR="007F6529" w:rsidRPr="00CC5A3D" w:rsidRDefault="007F6529" w:rsidP="00D779AB">
      <w:pPr>
        <w:pStyle w:val="isselectedend"/>
        <w:spacing w:line="360" w:lineRule="auto"/>
        <w:jc w:val="both"/>
      </w:pPr>
      <w:r w:rsidRPr="00CC5A3D">
        <w:t>To support transferability, the study provided information about the university settings, participant backgrounds, and task scenarios. This allows readers to judge whether the findings may be relevant to other EFL contexts. Dependability was addressed through an audit trail documenting changes to the interview materials, coding decisions, and the development of themes. Reflexive notes were also kept throughout the analysis to record the researcher’s assumptions and responses to the data. These records, together with the use of participant extracts to support each theme, contributed to confirmability.</w:t>
      </w:r>
    </w:p>
    <w:p w:rsidR="007F6529" w:rsidRPr="00CC5A3D" w:rsidRDefault="007F6529" w:rsidP="00D779AB">
      <w:pPr>
        <w:pStyle w:val="isselectedend"/>
        <w:spacing w:line="360" w:lineRule="auto"/>
        <w:jc w:val="both"/>
      </w:pPr>
      <w:r w:rsidRPr="00CC5A3D">
        <w:t>Participants received an information sheet explaining the purpose of the study, the interview procedures, and how their data would be used. They were informed that participation was voluntary and that they could withdraw without penalty. Written consent was obtained before the interviews and audio recording.</w:t>
      </w:r>
    </w:p>
    <w:p w:rsidR="007F6529" w:rsidRPr="00CC5A3D" w:rsidRDefault="007F6529" w:rsidP="00D779AB">
      <w:pPr>
        <w:pStyle w:val="NormalWeb"/>
        <w:spacing w:line="360" w:lineRule="auto"/>
        <w:jc w:val="both"/>
      </w:pPr>
      <w:r w:rsidRPr="00CC5A3D">
        <w:t>Confidentiality was maintained by removing identifying information from the transcripts and research report. Teachers were referred to by codes from T01 to T15, and the institutions were identified as Universities A, B, and C. Audio recordings, transcripts, and consent documents were stored in secure, password-protected locations accessible only to the primary researcher.</w:t>
      </w:r>
    </w:p>
    <w:p w:rsidR="00D21688" w:rsidRPr="00CC5A3D" w:rsidRDefault="00D21688" w:rsidP="00D779AB">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lastRenderedPageBreak/>
        <w:t>4. Findings and Discussion</w:t>
      </w:r>
    </w:p>
    <w:p w:rsidR="0083007C" w:rsidRPr="00CC5A3D" w:rsidRDefault="0083007C" w:rsidP="00D779AB">
      <w:pPr>
        <w:pStyle w:val="Heading3"/>
        <w:spacing w:line="360" w:lineRule="auto"/>
        <w:jc w:val="both"/>
        <w:rPr>
          <w:sz w:val="24"/>
          <w:szCs w:val="24"/>
        </w:rPr>
      </w:pPr>
      <w:r w:rsidRPr="00CC5A3D">
        <w:rPr>
          <w:sz w:val="24"/>
          <w:szCs w:val="24"/>
        </w:rPr>
        <w:t xml:space="preserve">4.1 Integration of </w:t>
      </w:r>
      <w:proofErr w:type="spellStart"/>
      <w:r w:rsidRPr="00CC5A3D">
        <w:rPr>
          <w:sz w:val="24"/>
          <w:szCs w:val="24"/>
        </w:rPr>
        <w:t>GenAI</w:t>
      </w:r>
      <w:proofErr w:type="spellEnd"/>
      <w:r w:rsidRPr="00CC5A3D">
        <w:rPr>
          <w:sz w:val="24"/>
          <w:szCs w:val="24"/>
        </w:rPr>
        <w:t xml:space="preserve"> Across EFL Skill Areas (RQ1)</w:t>
      </w:r>
    </w:p>
    <w:p w:rsidR="0083007C" w:rsidRPr="00CC5A3D" w:rsidRDefault="0083007C" w:rsidP="00D779AB">
      <w:pPr>
        <w:pStyle w:val="isselectedend"/>
        <w:spacing w:line="360" w:lineRule="auto"/>
        <w:jc w:val="both"/>
      </w:pPr>
      <w:r w:rsidRPr="00CC5A3D">
        <w:t xml:space="preserve">The interviews showed that teachers saw </w:t>
      </w:r>
      <w:proofErr w:type="spellStart"/>
      <w:r w:rsidRPr="00CC5A3D">
        <w:t>GenAI</w:t>
      </w:r>
      <w:proofErr w:type="spellEnd"/>
      <w:r w:rsidRPr="00CC5A3D">
        <w:t xml:space="preserve"> as useful across all six task areas, although its role differed according to the learning purpose. Two broad forms of support appeared in their responses. In vocabulary, grammar, and reading, </w:t>
      </w:r>
      <w:proofErr w:type="spellStart"/>
      <w:r w:rsidRPr="00CC5A3D">
        <w:t>GenAI</w:t>
      </w:r>
      <w:proofErr w:type="spellEnd"/>
      <w:r w:rsidRPr="00CC5A3D">
        <w:t xml:space="preserve"> mainly provided </w:t>
      </w:r>
      <w:r w:rsidRPr="00CC5A3D">
        <w:rPr>
          <w:rStyle w:val="Strong"/>
          <w:b w:val="0"/>
        </w:rPr>
        <w:t>receptive and analytical support</w:t>
      </w:r>
      <w:r w:rsidRPr="00CC5A3D">
        <w:t xml:space="preserve"> by explaining language and making difficult material easier to understand. In writing, idea generation, and speaking, it offered more </w:t>
      </w:r>
      <w:r w:rsidRPr="00CC5A3D">
        <w:rPr>
          <w:rStyle w:val="Strong"/>
          <w:b w:val="0"/>
        </w:rPr>
        <w:t>interactive and generative support</w:t>
      </w:r>
      <w:r w:rsidRPr="00CC5A3D">
        <w:t xml:space="preserve"> through feedback, alternative ideas, and simulated communication.</w:t>
      </w:r>
    </w:p>
    <w:p w:rsidR="0083007C" w:rsidRPr="00CC5A3D" w:rsidRDefault="0083007C" w:rsidP="00D779AB">
      <w:pPr>
        <w:pStyle w:val="isselectedend"/>
        <w:spacing w:line="360" w:lineRule="auto"/>
        <w:jc w:val="both"/>
      </w:pPr>
      <w:r w:rsidRPr="00CC5A3D">
        <w:t xml:space="preserve">For vocabulary and grammar, teachers valued the speed and range of the support available. </w:t>
      </w:r>
      <w:proofErr w:type="spellStart"/>
      <w:r w:rsidRPr="00CC5A3D">
        <w:t>GenAI</w:t>
      </w:r>
      <w:proofErr w:type="spellEnd"/>
      <w:r w:rsidRPr="00CC5A3D">
        <w:t xml:space="preserve"> could provide definitions, collocations, examples, and explanations of errors in response to follow-up questions. In reading, it could explain unfamiliar expressions or simplify complex sentences. Teachers noted, however, that easier access to an explanation did not necessarily mean that students understood it. Learners still needed to check whether an example was accurate, suitable for their level, and appropriate to the context. As one participant explained:</w:t>
      </w:r>
    </w:p>
    <w:p w:rsidR="0083007C" w:rsidRPr="00CC5A3D" w:rsidRDefault="0083007C" w:rsidP="00D779AB">
      <w:pPr>
        <w:pStyle w:val="isselectedend"/>
        <w:spacing w:line="360" w:lineRule="auto"/>
        <w:ind w:left="720"/>
        <w:jc w:val="both"/>
      </w:pPr>
      <w:r w:rsidRPr="00CC5A3D">
        <w:t>For vocabulary, it is useful because students can ask for more than just the meaning. They can ask for examples, collocations, or a simpler explanation. But I would still ask them to check the examples because sometimes the answer sounds correct but does not really fit the context</w:t>
      </w:r>
      <w:r w:rsidR="00C81E21" w:rsidRPr="00CC5A3D">
        <w:t>.</w:t>
      </w:r>
      <w:r w:rsidR="00E37110">
        <w:t xml:space="preserve"> </w:t>
      </w:r>
      <w:bookmarkStart w:id="0" w:name="_GoBack"/>
      <w:bookmarkEnd w:id="0"/>
      <w:r w:rsidRPr="00CC5A3D">
        <w:t>(T03_UA)</w:t>
      </w:r>
    </w:p>
    <w:p w:rsidR="0083007C" w:rsidRPr="00CC5A3D" w:rsidRDefault="0083007C" w:rsidP="00D779AB">
      <w:pPr>
        <w:pStyle w:val="isselectedend"/>
        <w:spacing w:line="360" w:lineRule="auto"/>
        <w:jc w:val="both"/>
      </w:pPr>
      <w:r w:rsidRPr="00CC5A3D">
        <w:t xml:space="preserve">Writing and idea generation were viewed somewhat differently because </w:t>
      </w:r>
      <w:proofErr w:type="spellStart"/>
      <w:r w:rsidRPr="00CC5A3D">
        <w:t>GenAI</w:t>
      </w:r>
      <w:proofErr w:type="spellEnd"/>
      <w:r w:rsidRPr="00CC5A3D">
        <w:t xml:space="preserve"> could contribute directly to the content of students’ work. Teachers were generally more positive when it commented on a student’s draft or offered several ideas for consideration. They were less positive when it produced a complete paragraph or outline that the student followed without making independent choices. The benefit therefore came from giving learners options to evaluate and develop rather than supplying a finished response. This supports earlier research on the usefulness of </w:t>
      </w:r>
      <w:proofErr w:type="spellStart"/>
      <w:r w:rsidRPr="00CC5A3D">
        <w:t>GenAI</w:t>
      </w:r>
      <w:proofErr w:type="spellEnd"/>
      <w:r w:rsidRPr="00CC5A3D">
        <w:t xml:space="preserve"> in writing (Lo et al., 2024), while also showing that its value depends on how students respond to its suggestions.</w:t>
      </w:r>
    </w:p>
    <w:p w:rsidR="0083007C" w:rsidRPr="00CC5A3D" w:rsidRDefault="0083007C" w:rsidP="00D779AB">
      <w:pPr>
        <w:pStyle w:val="isselectedend"/>
        <w:spacing w:line="360" w:lineRule="auto"/>
        <w:jc w:val="both"/>
      </w:pPr>
      <w:r w:rsidRPr="00CC5A3D">
        <w:t xml:space="preserve">In speaking activities, teachers valued </w:t>
      </w:r>
      <w:proofErr w:type="spellStart"/>
      <w:r w:rsidRPr="00CC5A3D">
        <w:t>GenAI</w:t>
      </w:r>
      <w:proofErr w:type="spellEnd"/>
      <w:r w:rsidRPr="00CC5A3D">
        <w:t xml:space="preserve"> as a low-pressure conversation partner. Role-plays and simulated interviews could give students additional practice, particularly when they were hesitant to speak in class. At the same time, participants did not regard interaction with AI as a replacement for communication with teachers or peers:</w:t>
      </w:r>
    </w:p>
    <w:p w:rsidR="0083007C" w:rsidRPr="00CC5A3D" w:rsidRDefault="0083007C" w:rsidP="00D779AB">
      <w:pPr>
        <w:pStyle w:val="isselectedend"/>
        <w:spacing w:line="360" w:lineRule="auto"/>
        <w:ind w:left="720"/>
        <w:jc w:val="both"/>
      </w:pPr>
      <w:r w:rsidRPr="00CC5A3D">
        <w:lastRenderedPageBreak/>
        <w:t xml:space="preserve">Some students are afraid of making mistakes in front of other people. With AI, they can </w:t>
      </w:r>
      <w:proofErr w:type="spellStart"/>
      <w:r w:rsidRPr="00CC5A3D">
        <w:t>practise</w:t>
      </w:r>
      <w:proofErr w:type="spellEnd"/>
      <w:r w:rsidRPr="00CC5A3D">
        <w:t xml:space="preserve"> the same conversation several times and feel less embarrassed. I see it as preparation, though. They still need to spe</w:t>
      </w:r>
      <w:r w:rsidR="00C81E21" w:rsidRPr="00CC5A3D">
        <w:t>ak with real people afterwards.</w:t>
      </w:r>
      <w:r w:rsidRPr="00CC5A3D">
        <w:t xml:space="preserve"> (T11_UB)</w:t>
      </w:r>
    </w:p>
    <w:p w:rsidR="0083007C" w:rsidRPr="00CC5A3D" w:rsidRDefault="0083007C" w:rsidP="00D779AB">
      <w:pPr>
        <w:pStyle w:val="NormalWeb"/>
        <w:spacing w:line="360" w:lineRule="auto"/>
        <w:jc w:val="both"/>
      </w:pPr>
      <w:r w:rsidRPr="00CC5A3D">
        <w:t xml:space="preserve">Across the six activities, </w:t>
      </w:r>
      <w:proofErr w:type="spellStart"/>
      <w:r w:rsidRPr="00CC5A3D">
        <w:t>GenAI</w:t>
      </w:r>
      <w:proofErr w:type="spellEnd"/>
      <w:r w:rsidRPr="00CC5A3D">
        <w:t xml:space="preserve"> was considered most useful when it helped students understand language, consider alternatives, or </w:t>
      </w:r>
      <w:proofErr w:type="spellStart"/>
      <w:r w:rsidRPr="00CC5A3D">
        <w:t>practise</w:t>
      </w:r>
      <w:proofErr w:type="spellEnd"/>
      <w:r w:rsidRPr="00CC5A3D">
        <w:t xml:space="preserve"> more frequently. Its value was reduced when it completed the thinking or language production on their behalf. The findings therefore suggest that </w:t>
      </w:r>
      <w:proofErr w:type="spellStart"/>
      <w:r w:rsidRPr="00CC5A3D">
        <w:t>GenAI</w:t>
      </w:r>
      <w:proofErr w:type="spellEnd"/>
      <w:r w:rsidRPr="00CC5A3D">
        <w:t xml:space="preserve"> does not have a single role in EFL learning. Its contribution depends on the task, the learner’s level, and the degree to which students remain involved in making decisions.</w:t>
      </w:r>
    </w:p>
    <w:p w:rsidR="00F00D7A" w:rsidRPr="00CC5A3D" w:rsidRDefault="00F00D7A" w:rsidP="00D779AB">
      <w:pPr>
        <w:pStyle w:val="NormalWeb"/>
        <w:spacing w:line="360" w:lineRule="auto"/>
        <w:jc w:val="both"/>
      </w:pPr>
      <w:r w:rsidRPr="00CC5A3D">
        <w:t xml:space="preserve">These findings are broadly consistent with previous research showing that </w:t>
      </w:r>
      <w:proofErr w:type="spellStart"/>
      <w:r w:rsidRPr="00CC5A3D">
        <w:t>GenAI</w:t>
      </w:r>
      <w:proofErr w:type="spellEnd"/>
      <w:r w:rsidRPr="00CC5A3D">
        <w:t xml:space="preserve"> can provide </w:t>
      </w:r>
      <w:proofErr w:type="spellStart"/>
      <w:r w:rsidRPr="00CC5A3D">
        <w:t>personalised</w:t>
      </w:r>
      <w:proofErr w:type="spellEnd"/>
      <w:r w:rsidRPr="00CC5A3D">
        <w:t xml:space="preserve"> explanations, writing feedback, and additional opportunities for language practice (</w:t>
      </w:r>
      <w:proofErr w:type="spellStart"/>
      <w:r w:rsidRPr="00CC5A3D">
        <w:t>Kohnke</w:t>
      </w:r>
      <w:proofErr w:type="spellEnd"/>
      <w:r w:rsidRPr="00CC5A3D">
        <w:t xml:space="preserve"> et al., 2023a; Law, 2024; Lo et al., 2024). However, the teachers did not view its value as equal across all activities. Analytical support, such as explaining vocabulary or simplifying a sentence, was generally seen as less likely to replace students’ work than generative support that directly shaped their ideas or written responses. This distinction suggests that the effectiveness of </w:t>
      </w:r>
      <w:proofErr w:type="spellStart"/>
      <w:r w:rsidRPr="00CC5A3D">
        <w:t>GenAI</w:t>
      </w:r>
      <w:proofErr w:type="spellEnd"/>
      <w:r w:rsidRPr="00CC5A3D">
        <w:t xml:space="preserve"> depends not simply on the tool itself, but on how much thinking and language production remains with the learner.</w:t>
      </w:r>
    </w:p>
    <w:p w:rsidR="00A37717" w:rsidRPr="00CC5A3D" w:rsidRDefault="00A37717" w:rsidP="00D779AB">
      <w:pPr>
        <w:pStyle w:val="Heading3"/>
        <w:spacing w:line="360" w:lineRule="auto"/>
        <w:jc w:val="both"/>
        <w:rPr>
          <w:sz w:val="24"/>
          <w:szCs w:val="24"/>
        </w:rPr>
      </w:pPr>
      <w:r w:rsidRPr="00CC5A3D">
        <w:rPr>
          <w:sz w:val="24"/>
          <w:szCs w:val="24"/>
        </w:rPr>
        <w:t>4.2 Teacher Scaffolding Strategies (RQ2)</w:t>
      </w:r>
    </w:p>
    <w:p w:rsidR="00A37717" w:rsidRPr="00CC5A3D" w:rsidRDefault="00A37717" w:rsidP="00D779AB">
      <w:pPr>
        <w:pStyle w:val="isselectedend"/>
        <w:spacing w:line="360" w:lineRule="auto"/>
        <w:jc w:val="both"/>
      </w:pPr>
      <w:r w:rsidRPr="00CC5A3D">
        <w:t xml:space="preserve">Teachers described guidance as necessary if </w:t>
      </w:r>
      <w:proofErr w:type="spellStart"/>
      <w:r w:rsidRPr="00CC5A3D">
        <w:t>GenAI</w:t>
      </w:r>
      <w:proofErr w:type="spellEnd"/>
      <w:r w:rsidRPr="00CC5A3D">
        <w:t xml:space="preserve"> was to support learning rather than complete tasks for students. Three related strategies appeared across the interviews: guiding students’ prompts, requiring them to evaluate AI responses, and asking them to reflect on how they used those responses. These strategies shifted the teacher’s role from providing every answer to </w:t>
      </w:r>
      <w:proofErr w:type="spellStart"/>
      <w:r w:rsidRPr="00CC5A3D">
        <w:t>organising</w:t>
      </w:r>
      <w:proofErr w:type="spellEnd"/>
      <w:r w:rsidRPr="00CC5A3D">
        <w:t xml:space="preserve"> the conditions under which students worked with </w:t>
      </w:r>
      <w:proofErr w:type="spellStart"/>
      <w:r w:rsidRPr="00CC5A3D">
        <w:t>GenAI</w:t>
      </w:r>
      <w:proofErr w:type="spellEnd"/>
      <w:r w:rsidRPr="00CC5A3D">
        <w:t>.</w:t>
      </w:r>
    </w:p>
    <w:p w:rsidR="00A37717" w:rsidRPr="00CC5A3D" w:rsidRDefault="00A37717" w:rsidP="00D779AB">
      <w:pPr>
        <w:pStyle w:val="isselectedend"/>
        <w:spacing w:line="360" w:lineRule="auto"/>
        <w:jc w:val="both"/>
      </w:pPr>
      <w:r w:rsidRPr="00CC5A3D">
        <w:t xml:space="preserve">The first strategy involved helping students write prompts that reflected a clear learning purpose. Participants noted that vague prompts often produced general or unsuitable responses. They therefore suggested modelling how to include relevant information, such as the learner’s proficiency level, the task context, and the kind of support required. For example, a student could ask for feedback on the clarity of a paragraph rather than ask </w:t>
      </w:r>
      <w:proofErr w:type="spellStart"/>
      <w:r w:rsidRPr="00CC5A3D">
        <w:t>GenAI</w:t>
      </w:r>
      <w:proofErr w:type="spellEnd"/>
      <w:r w:rsidRPr="00CC5A3D">
        <w:t xml:space="preserve"> to rewrite it. One teacher explained:</w:t>
      </w:r>
    </w:p>
    <w:p w:rsidR="00A37717" w:rsidRPr="00CC5A3D" w:rsidRDefault="00A37717" w:rsidP="00D779AB">
      <w:pPr>
        <w:pStyle w:val="isselectedend"/>
        <w:spacing w:line="360" w:lineRule="auto"/>
        <w:ind w:left="720"/>
        <w:jc w:val="both"/>
        <w:rPr>
          <w:i/>
        </w:rPr>
      </w:pPr>
      <w:r w:rsidRPr="00CC5A3D">
        <w:t xml:space="preserve">Many students begin with a very general prompt, such as ‘Check my writing.’ I usually ask them to be more specific: check the </w:t>
      </w:r>
      <w:proofErr w:type="spellStart"/>
      <w:r w:rsidRPr="00CC5A3D">
        <w:t>organisation</w:t>
      </w:r>
      <w:proofErr w:type="spellEnd"/>
      <w:r w:rsidRPr="00CC5A3D">
        <w:t>, explain the grammar problems, but do not rewrite the paragraph. In this way, they have to decide what k</w:t>
      </w:r>
      <w:r w:rsidR="00C81E21" w:rsidRPr="00CC5A3D">
        <w:t>ind of help they actually need.</w:t>
      </w:r>
      <w:r w:rsidRPr="00CC5A3D">
        <w:t xml:space="preserve"> (T05_UA</w:t>
      </w:r>
      <w:r w:rsidRPr="00CC5A3D">
        <w:rPr>
          <w:i/>
        </w:rPr>
        <w:t>)</w:t>
      </w:r>
    </w:p>
    <w:p w:rsidR="00A37717" w:rsidRPr="00CC5A3D" w:rsidRDefault="00A37717" w:rsidP="00D779AB">
      <w:pPr>
        <w:pStyle w:val="isselectedend"/>
        <w:spacing w:line="360" w:lineRule="auto"/>
        <w:jc w:val="both"/>
      </w:pPr>
      <w:r w:rsidRPr="00CC5A3D">
        <w:lastRenderedPageBreak/>
        <w:t>Prompt guidance was therefore not simply a way of obtaining a better AI response. It also required students to think about what they needed and define the limits of the assistance they were requesting.</w:t>
      </w:r>
    </w:p>
    <w:p w:rsidR="00A37717" w:rsidRPr="00CC5A3D" w:rsidRDefault="00A37717" w:rsidP="00D779AB">
      <w:pPr>
        <w:pStyle w:val="isselectedend"/>
        <w:spacing w:line="360" w:lineRule="auto"/>
        <w:jc w:val="both"/>
      </w:pPr>
      <w:r w:rsidRPr="00CC5A3D">
        <w:t xml:space="preserve">The second strategy was to treat AI output as material for evaluation rather than as a final answer. Teachers suggested asking students to compare </w:t>
      </w:r>
      <w:proofErr w:type="spellStart"/>
      <w:r w:rsidRPr="00CC5A3D">
        <w:t>GenAI</w:t>
      </w:r>
      <w:proofErr w:type="spellEnd"/>
      <w:r w:rsidRPr="00CC5A3D">
        <w:t xml:space="preserve"> responses with dictionaries, textbooks, course materials, or other reliable sources. Students could also identify inaccurate information, awkward language, or suggestions that did not fit the task. This changed verification from an optional check into part of the learning activity. It was considered particularly important for lower-proficiency learners, who might find it difficult to </w:t>
      </w:r>
      <w:proofErr w:type="spellStart"/>
      <w:r w:rsidRPr="00CC5A3D">
        <w:t>recognise</w:t>
      </w:r>
      <w:proofErr w:type="spellEnd"/>
      <w:r w:rsidRPr="00CC5A3D">
        <w:t xml:space="preserve"> a confident but incorrect response.</w:t>
      </w:r>
    </w:p>
    <w:p w:rsidR="00A37717" w:rsidRPr="00CC5A3D" w:rsidRDefault="00A37717" w:rsidP="00D779AB">
      <w:pPr>
        <w:pStyle w:val="isselectedend"/>
        <w:spacing w:line="360" w:lineRule="auto"/>
        <w:jc w:val="both"/>
      </w:pPr>
      <w:r w:rsidRPr="00CC5A3D">
        <w:t>A third strategy focused on documenting the learning process. Teachers proposed asking students to submit selected prompts, relevant AI responses, and a short explanation of the suggestions they accepted, rejected, or changed. In writing tasks, this record could be submitted together with the original and revised drafts. As one participant noted:</w:t>
      </w:r>
    </w:p>
    <w:p w:rsidR="00A37717" w:rsidRPr="00CC5A3D" w:rsidRDefault="00A37717" w:rsidP="00D779AB">
      <w:pPr>
        <w:pStyle w:val="isselectedend"/>
        <w:spacing w:line="360" w:lineRule="auto"/>
        <w:ind w:left="720"/>
        <w:jc w:val="both"/>
      </w:pPr>
      <w:r w:rsidRPr="00CC5A3D">
        <w:t xml:space="preserve">I do not only want to see the final version because it does not show me what the student has learned. I ask them to keep the original draft and explain which AI suggestions they accepted or rejected. Their reasons are more important to me </w:t>
      </w:r>
      <w:r w:rsidR="00C81E21" w:rsidRPr="00CC5A3D">
        <w:t>than the number of corrections.</w:t>
      </w:r>
      <w:r w:rsidRPr="00CC5A3D">
        <w:t xml:space="preserve"> (T13_UC)</w:t>
      </w:r>
    </w:p>
    <w:p w:rsidR="00A37717" w:rsidRPr="00CC5A3D" w:rsidRDefault="00A37717" w:rsidP="00D779AB">
      <w:pPr>
        <w:pStyle w:val="isselectedend"/>
        <w:spacing w:line="360" w:lineRule="auto"/>
        <w:jc w:val="both"/>
      </w:pPr>
      <w:r w:rsidRPr="00CC5A3D">
        <w:t xml:space="preserve">The purpose of documenting the process was not only to monitor AI use but also to make students examine their own decisions. As students became more capable of evaluating </w:t>
      </w:r>
      <w:proofErr w:type="spellStart"/>
      <w:r w:rsidRPr="00CC5A3D">
        <w:t>GenAI</w:t>
      </w:r>
      <w:proofErr w:type="spellEnd"/>
      <w:r w:rsidRPr="00CC5A3D">
        <w:t xml:space="preserve"> independently, the amount of documentation and teacher support could gradually be reduced.</w:t>
      </w:r>
    </w:p>
    <w:p w:rsidR="00A37717" w:rsidRPr="00CC5A3D" w:rsidRDefault="00A37717" w:rsidP="00D779AB">
      <w:pPr>
        <w:pStyle w:val="NormalWeb"/>
        <w:spacing w:line="360" w:lineRule="auto"/>
        <w:jc w:val="both"/>
      </w:pPr>
      <w:r w:rsidRPr="00CC5A3D">
        <w:t xml:space="preserve">These strategies reflect the temporary and adjustable nature of scaffolding described by Wood et al. (1976). Teachers did not aim to control every interaction with </w:t>
      </w:r>
      <w:proofErr w:type="spellStart"/>
      <w:r w:rsidRPr="00CC5A3D">
        <w:t>GenAI</w:t>
      </w:r>
      <w:proofErr w:type="spellEnd"/>
      <w:r w:rsidRPr="00CC5A3D">
        <w:t>. Instead, they sought to make students’ decisions more visible and gradually transfer responsibility back to them. Effective guidance therefore involved more than teaching students how to operate an AI tool; it involved helping them decide when its support was useful and when they needed to rely on their own knowledge.</w:t>
      </w:r>
    </w:p>
    <w:p w:rsidR="00F00D7A" w:rsidRPr="00CC5A3D" w:rsidRDefault="00F00D7A" w:rsidP="00F00D7A">
      <w:pPr>
        <w:pStyle w:val="NormalWeb"/>
        <w:spacing w:line="360" w:lineRule="auto"/>
        <w:jc w:val="both"/>
      </w:pPr>
      <w:r w:rsidRPr="00CC5A3D">
        <w:t xml:space="preserve">These findings support the view that effective </w:t>
      </w:r>
      <w:proofErr w:type="spellStart"/>
      <w:r w:rsidRPr="00CC5A3D">
        <w:t>GenAI</w:t>
      </w:r>
      <w:proofErr w:type="spellEnd"/>
      <w:r w:rsidRPr="00CC5A3D">
        <w:t xml:space="preserve"> integration requires pedagogical as well as technical competence (</w:t>
      </w:r>
      <w:proofErr w:type="spellStart"/>
      <w:r w:rsidRPr="00CC5A3D">
        <w:t>Kohnke</w:t>
      </w:r>
      <w:proofErr w:type="spellEnd"/>
      <w:r w:rsidRPr="00CC5A3D">
        <w:t xml:space="preserve"> et al., 2023b; </w:t>
      </w:r>
      <w:proofErr w:type="spellStart"/>
      <w:r w:rsidRPr="00CC5A3D">
        <w:t>Moorhouse</w:t>
      </w:r>
      <w:proofErr w:type="spellEnd"/>
      <w:r w:rsidRPr="00CC5A3D">
        <w:t xml:space="preserve"> et al., 2024). The three strategies also reflect the principle of scaffolding, in which learners receive structured support before gradually taking greater responsibility for their work (Vygotsky, 1978; Wood et al., 1976). In this study, scaffolding did not mean controlling every use of </w:t>
      </w:r>
      <w:proofErr w:type="spellStart"/>
      <w:r w:rsidRPr="00CC5A3D">
        <w:t>GenAI</w:t>
      </w:r>
      <w:proofErr w:type="spellEnd"/>
      <w:r w:rsidRPr="00CC5A3D">
        <w:t xml:space="preserve">. Instead, it involved helping students define the support they needed, evaluate the responses they received, and reflect on their own decisions. Teacher guidance therefore </w:t>
      </w:r>
      <w:r w:rsidRPr="00CC5A3D">
        <w:lastRenderedPageBreak/>
        <w:t>aimed to develop independent judgement rather than continued dependence on either the teacher or the technology.</w:t>
      </w:r>
    </w:p>
    <w:p w:rsidR="00A37717" w:rsidRPr="00CC5A3D" w:rsidRDefault="00A37717" w:rsidP="00D779A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t>4.3 Principles for Responsible Use and Preventing Overreliance (RQ3)</w:t>
      </w:r>
    </w:p>
    <w:p w:rsidR="00A37717" w:rsidRPr="00CC5A3D" w:rsidRDefault="00A37717"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The teachers’ responses suggested that responsible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use could not be achieved through a single rule. Instead, five connected principles were identified. Together, they aimed to preserve the benefits of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while keeping learners responsible for the thinking and language work involved in each task.</w:t>
      </w:r>
    </w:p>
    <w:p w:rsidR="00A37717" w:rsidRPr="00CC5A3D" w:rsidRDefault="00A37717"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b/>
          <w:bCs/>
          <w:sz w:val="24"/>
          <w:szCs w:val="24"/>
        </w:rPr>
        <w:t>Human agency:</w:t>
      </w:r>
      <w:r w:rsidRPr="00CC5A3D">
        <w:rPr>
          <w:rFonts w:ascii="Times New Roman" w:eastAsia="Times New Roman" w:hAnsi="Times New Roman" w:cs="Times New Roman"/>
          <w:sz w:val="24"/>
          <w:szCs w:val="24"/>
        </w:rPr>
        <w:t xml:space="preserve"> Students should remain responsible for the decisions made during a task and for the final work they submit.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may help them explore ideas, clarify language, or review a draft, but learners still need to select, evaluate, and adapt its suggestions. The main concern was not whether AI had been used, but whether the student remained meaningfully involved in the process.</w:t>
      </w:r>
    </w:p>
    <w:p w:rsidR="00A37717" w:rsidRPr="00CC5A3D" w:rsidRDefault="00A37717"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b/>
          <w:bCs/>
          <w:sz w:val="24"/>
          <w:szCs w:val="24"/>
        </w:rPr>
        <w:t>Transparency and disclosure:</w:t>
      </w:r>
      <w:r w:rsidRPr="00CC5A3D">
        <w:rPr>
          <w:rFonts w:ascii="Times New Roman" w:eastAsia="Times New Roman" w:hAnsi="Times New Roman" w:cs="Times New Roman"/>
          <w:sz w:val="24"/>
          <w:szCs w:val="24"/>
        </w:rPr>
        <w:t xml:space="preserve"> Teachers considered it important for students to state how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contributed to their work. The form of disclosure could vary according to the task. In some cases, a short acknowledgement would be sufficient, while process-focused assignments might require selected prompts and outputs. Transparency was viewed as a way of encouraging honest and purposeful use rather than simply detecting misconduct.</w:t>
      </w:r>
    </w:p>
    <w:p w:rsidR="00A37717" w:rsidRPr="00CC5A3D" w:rsidRDefault="00A37717"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b/>
          <w:bCs/>
          <w:sz w:val="24"/>
          <w:szCs w:val="24"/>
        </w:rPr>
        <w:t>Verification:</w:t>
      </w:r>
      <w:r w:rsidRPr="00CC5A3D">
        <w:rPr>
          <w:rFonts w:ascii="Times New Roman" w:eastAsia="Times New Roman" w:hAnsi="Times New Roman" w:cs="Times New Roman"/>
          <w:sz w:val="24"/>
          <w:szCs w:val="24"/>
        </w:rPr>
        <w:t xml:space="preserve"> Participants agreed that AI-generated information should not be accepted automatically. Students should check important claims, grammar explanations, and language suggestions against reliable sources or their own course materials. Verification was therefore treated as part of the learning process, particularly when students had limited knowledge of the topic or language point.</w:t>
      </w:r>
    </w:p>
    <w:p w:rsidR="00A37717" w:rsidRPr="00CC5A3D" w:rsidRDefault="00A37717"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b/>
          <w:bCs/>
          <w:sz w:val="24"/>
          <w:szCs w:val="24"/>
        </w:rPr>
        <w:t>Privacy and data safety</w:t>
      </w:r>
      <w:r w:rsidRPr="00CC5A3D">
        <w:rPr>
          <w:rFonts w:ascii="Times New Roman" w:eastAsia="Times New Roman" w:hAnsi="Times New Roman" w:cs="Times New Roman"/>
          <w:bCs/>
          <w:sz w:val="24"/>
          <w:szCs w:val="24"/>
        </w:rPr>
        <w:t>:</w:t>
      </w:r>
      <w:r w:rsidRPr="00CC5A3D">
        <w:rPr>
          <w:rFonts w:ascii="Times New Roman" w:eastAsia="Times New Roman" w:hAnsi="Times New Roman" w:cs="Times New Roman"/>
          <w:sz w:val="24"/>
          <w:szCs w:val="24"/>
        </w:rPr>
        <w:t xml:space="preserve"> Teachers also raised concerns about the information students entered into public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platforms. They suggested that learners should avoid sharing personal details, confidential institutional information, or identifiable work belonging to other people. Responsible use therefore included awareness of what information was appropriate to upload as well as how AI output was used.</w:t>
      </w:r>
    </w:p>
    <w:p w:rsidR="00A37717" w:rsidRPr="00CC5A3D" w:rsidRDefault="00A37717"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b/>
          <w:bCs/>
          <w:sz w:val="24"/>
          <w:szCs w:val="24"/>
        </w:rPr>
        <w:t>Task differentiation:</w:t>
      </w:r>
      <w:r w:rsidRPr="00CC5A3D">
        <w:rPr>
          <w:rFonts w:ascii="Times New Roman" w:eastAsia="Times New Roman" w:hAnsi="Times New Roman" w:cs="Times New Roman"/>
          <w:sz w:val="24"/>
          <w:szCs w:val="24"/>
        </w:rPr>
        <w:t xml:space="preserve"> The boundaries of acceptable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use needed to reflect the purpose of the activity. AI support might be permitted during brainstorming, language practice, or formative revision but restricted during baseline writing, examinations, or tasks intended to measure independent ability. Clear instructions were considered essential because the same use of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could be appropriate in one task and inappropriate in another.</w:t>
      </w:r>
    </w:p>
    <w:p w:rsidR="00A37717" w:rsidRPr="00CC5A3D" w:rsidRDefault="00A37717"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lastRenderedPageBreak/>
        <w:t xml:space="preserve">These principles show that preventing overreliance does not necessarily require a complete ban on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What mattered to the participants was maintaining a clear relationship between AI use and the intended learning </w:t>
      </w:r>
      <w:proofErr w:type="gramStart"/>
      <w:r w:rsidRPr="00CC5A3D">
        <w:rPr>
          <w:rFonts w:ascii="Times New Roman" w:eastAsia="Times New Roman" w:hAnsi="Times New Roman" w:cs="Times New Roman"/>
          <w:sz w:val="24"/>
          <w:szCs w:val="24"/>
        </w:rPr>
        <w:t>outcome.</w:t>
      </w:r>
      <w:proofErr w:type="gramEnd"/>
      <w:r w:rsidRPr="00CC5A3D">
        <w:rPr>
          <w:rFonts w:ascii="Times New Roman" w:eastAsia="Times New Roman" w:hAnsi="Times New Roman" w:cs="Times New Roman"/>
          <w:sz w:val="24"/>
          <w:szCs w:val="24"/>
        </w:rPr>
        <w:t xml:space="preserve"> When students understood the purpose, limits, and responsibilities attached to its use,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was more likely to function as learning support rather than as a replacement for their own work.</w:t>
      </w:r>
    </w:p>
    <w:p w:rsidR="00F00D7A" w:rsidRPr="00CC5A3D" w:rsidRDefault="00F00D7A" w:rsidP="00D779AB">
      <w:pPr>
        <w:spacing w:before="100" w:beforeAutospacing="1" w:after="100" w:afterAutospacing="1" w:line="360" w:lineRule="auto"/>
        <w:jc w:val="both"/>
        <w:rPr>
          <w:rFonts w:ascii="Times New Roman" w:eastAsia="Times New Roman" w:hAnsi="Times New Roman" w:cs="Times New Roman"/>
          <w:sz w:val="24"/>
          <w:szCs w:val="24"/>
        </w:rPr>
      </w:pPr>
      <w:r w:rsidRPr="00CC5A3D">
        <w:rPr>
          <w:rFonts w:ascii="Times New Roman" w:hAnsi="Times New Roman" w:cs="Times New Roman"/>
          <w:sz w:val="24"/>
          <w:szCs w:val="24"/>
        </w:rPr>
        <w:t>These principles are consistent with the human-</w:t>
      </w:r>
      <w:proofErr w:type="spellStart"/>
      <w:r w:rsidRPr="00CC5A3D">
        <w:rPr>
          <w:rFonts w:ascii="Times New Roman" w:hAnsi="Times New Roman" w:cs="Times New Roman"/>
          <w:sz w:val="24"/>
          <w:szCs w:val="24"/>
        </w:rPr>
        <w:t>centred</w:t>
      </w:r>
      <w:proofErr w:type="spellEnd"/>
      <w:r w:rsidRPr="00CC5A3D">
        <w:rPr>
          <w:rFonts w:ascii="Times New Roman" w:hAnsi="Times New Roman" w:cs="Times New Roman"/>
          <w:sz w:val="24"/>
          <w:szCs w:val="24"/>
        </w:rPr>
        <w:t xml:space="preserve"> approach to </w:t>
      </w:r>
      <w:proofErr w:type="spellStart"/>
      <w:r w:rsidRPr="00CC5A3D">
        <w:rPr>
          <w:rFonts w:ascii="Times New Roman" w:hAnsi="Times New Roman" w:cs="Times New Roman"/>
          <w:sz w:val="24"/>
          <w:szCs w:val="24"/>
        </w:rPr>
        <w:t>GenAI</w:t>
      </w:r>
      <w:proofErr w:type="spellEnd"/>
      <w:r w:rsidRPr="00CC5A3D">
        <w:rPr>
          <w:rFonts w:ascii="Times New Roman" w:hAnsi="Times New Roman" w:cs="Times New Roman"/>
          <w:sz w:val="24"/>
          <w:szCs w:val="24"/>
        </w:rPr>
        <w:t xml:space="preserve"> proposed by Miao and Holmes (2023), particularly its emphasis on human agency, transparency, privacy, and critical evaluation. The findings also indicate that responsible use cannot be defined by a single rule applied to every activity. Instead, teachers need to consider the purpose of each task and the type of learning it is intended to demonstrate. Clear boundaries and verification requirements may therefore help students benefit from </w:t>
      </w:r>
      <w:proofErr w:type="spellStart"/>
      <w:r w:rsidRPr="00CC5A3D">
        <w:rPr>
          <w:rFonts w:ascii="Times New Roman" w:hAnsi="Times New Roman" w:cs="Times New Roman"/>
          <w:sz w:val="24"/>
          <w:szCs w:val="24"/>
        </w:rPr>
        <w:t>GenAI</w:t>
      </w:r>
      <w:proofErr w:type="spellEnd"/>
      <w:r w:rsidRPr="00CC5A3D">
        <w:rPr>
          <w:rFonts w:ascii="Times New Roman" w:hAnsi="Times New Roman" w:cs="Times New Roman"/>
          <w:sz w:val="24"/>
          <w:szCs w:val="24"/>
        </w:rPr>
        <w:t xml:space="preserve"> while remaining responsible for their own decisions and language production.</w:t>
      </w:r>
    </w:p>
    <w:p w:rsidR="00A37717" w:rsidRPr="00CC5A3D" w:rsidRDefault="00A37717" w:rsidP="00D779AB">
      <w:pPr>
        <w:pStyle w:val="Heading2"/>
        <w:spacing w:line="360" w:lineRule="auto"/>
        <w:jc w:val="both"/>
        <w:rPr>
          <w:sz w:val="24"/>
          <w:szCs w:val="24"/>
        </w:rPr>
      </w:pPr>
      <w:r w:rsidRPr="00CC5A3D">
        <w:rPr>
          <w:sz w:val="24"/>
          <w:szCs w:val="24"/>
        </w:rPr>
        <w:t>5. Conclusion and Recommendations</w:t>
      </w:r>
    </w:p>
    <w:p w:rsidR="00A37717" w:rsidRPr="00CC5A3D" w:rsidRDefault="00A37717" w:rsidP="00D779AB">
      <w:pPr>
        <w:pStyle w:val="Heading3"/>
        <w:spacing w:line="360" w:lineRule="auto"/>
        <w:jc w:val="both"/>
        <w:rPr>
          <w:sz w:val="24"/>
          <w:szCs w:val="24"/>
        </w:rPr>
      </w:pPr>
      <w:r w:rsidRPr="00CC5A3D">
        <w:rPr>
          <w:sz w:val="24"/>
          <w:szCs w:val="24"/>
        </w:rPr>
        <w:t>5.1 Conclusion</w:t>
      </w:r>
    </w:p>
    <w:p w:rsidR="00A37717" w:rsidRPr="00CC5A3D" w:rsidRDefault="00A37717" w:rsidP="00D779AB">
      <w:pPr>
        <w:pStyle w:val="isselectedend"/>
        <w:spacing w:line="360" w:lineRule="auto"/>
        <w:jc w:val="both"/>
      </w:pPr>
      <w:r w:rsidRPr="00CC5A3D">
        <w:t xml:space="preserve">This study examined how university EFL teachers in Vietnam understood the effective and responsible use of </w:t>
      </w:r>
      <w:proofErr w:type="spellStart"/>
      <w:r w:rsidRPr="00CC5A3D">
        <w:t>GenAI</w:t>
      </w:r>
      <w:proofErr w:type="spellEnd"/>
      <w:r w:rsidRPr="00CC5A3D">
        <w:t xml:space="preserve"> across six language-learning activities. Teachers saw value in using </w:t>
      </w:r>
      <w:proofErr w:type="spellStart"/>
      <w:r w:rsidRPr="00CC5A3D">
        <w:t>GenAI</w:t>
      </w:r>
      <w:proofErr w:type="spellEnd"/>
      <w:r w:rsidRPr="00CC5A3D">
        <w:t xml:space="preserve"> to explain language, provide feedback, develop ideas, adapt reading materials, and create additional opportunities for speaking practice. However, they did not regard these benefits as automatic. The value of </w:t>
      </w:r>
      <w:proofErr w:type="spellStart"/>
      <w:r w:rsidRPr="00CC5A3D">
        <w:t>GenAI</w:t>
      </w:r>
      <w:proofErr w:type="spellEnd"/>
      <w:r w:rsidRPr="00CC5A3D">
        <w:t xml:space="preserve"> depended on the purpose of the task, the learner’s level, and the extent to which students remained involved in making decisions.</w:t>
      </w:r>
    </w:p>
    <w:p w:rsidR="00A37717" w:rsidRPr="00CC5A3D" w:rsidRDefault="00A37717" w:rsidP="00D779AB">
      <w:pPr>
        <w:pStyle w:val="isselectedend"/>
        <w:spacing w:line="360" w:lineRule="auto"/>
        <w:jc w:val="both"/>
      </w:pPr>
      <w:r w:rsidRPr="00CC5A3D">
        <w:t xml:space="preserve">Teacher guidance was central to participants’ accounts. The main strategies included helping students write purposeful prompts, requiring them to evaluate AI-generated responses, and asking them to explain how they used AI suggestions. Five broader principles also emerged: human agency, transparency, verification, data privacy, and task differentiation. Together, the findings support a position between complete prohibition and unrestricted use. </w:t>
      </w:r>
      <w:proofErr w:type="spellStart"/>
      <w:r w:rsidRPr="00CC5A3D">
        <w:t>GenAI</w:t>
      </w:r>
      <w:proofErr w:type="spellEnd"/>
      <w:r w:rsidRPr="00CC5A3D">
        <w:t xml:space="preserve"> was most useful when it extended students’ learning opportunities without taking over the thinking and language production that the task was intended to develop.</w:t>
      </w:r>
    </w:p>
    <w:p w:rsidR="00A37717" w:rsidRPr="00CC5A3D" w:rsidRDefault="00A37717" w:rsidP="00D779AB">
      <w:pPr>
        <w:pStyle w:val="Heading3"/>
        <w:spacing w:line="360" w:lineRule="auto"/>
        <w:jc w:val="both"/>
        <w:rPr>
          <w:sz w:val="24"/>
          <w:szCs w:val="24"/>
        </w:rPr>
      </w:pPr>
      <w:r w:rsidRPr="00CC5A3D">
        <w:rPr>
          <w:sz w:val="24"/>
          <w:szCs w:val="24"/>
        </w:rPr>
        <w:t>5.2 Pedagogical Implications</w:t>
      </w:r>
    </w:p>
    <w:p w:rsidR="00A37717" w:rsidRPr="00CC5A3D" w:rsidRDefault="00A37717" w:rsidP="00D779AB">
      <w:pPr>
        <w:pStyle w:val="isselectedend"/>
        <w:spacing w:line="360" w:lineRule="auto"/>
        <w:jc w:val="both"/>
      </w:pPr>
      <w:r w:rsidRPr="00CC5A3D">
        <w:t xml:space="preserve">The findings suggest that </w:t>
      </w:r>
      <w:proofErr w:type="spellStart"/>
      <w:r w:rsidRPr="00CC5A3D">
        <w:t>GenAI</w:t>
      </w:r>
      <w:proofErr w:type="spellEnd"/>
      <w:r w:rsidRPr="00CC5A3D">
        <w:t xml:space="preserve"> literacy should be taught as part of language learning rather than treated only as a technical skill. Teachers can model how to request limited and relevant support, identify weak </w:t>
      </w:r>
      <w:r w:rsidRPr="00CC5A3D">
        <w:lastRenderedPageBreak/>
        <w:t>or inaccurate responses, and decide whether an AI suggestion improves a piece of work. Students may also be asked to compare AI output with course materials or explain why they accepted, rejected, or modified particular suggestions.</w:t>
      </w:r>
    </w:p>
    <w:p w:rsidR="00A37717" w:rsidRPr="00CC5A3D" w:rsidRDefault="00A37717" w:rsidP="00D779AB">
      <w:pPr>
        <w:pStyle w:val="isselectedend"/>
        <w:spacing w:line="360" w:lineRule="auto"/>
        <w:jc w:val="both"/>
      </w:pPr>
      <w:r w:rsidRPr="00CC5A3D">
        <w:t xml:space="preserve">Task design is equally important. Activities that assess only the final product may provide little evidence of how students used </w:t>
      </w:r>
      <w:proofErr w:type="spellStart"/>
      <w:r w:rsidRPr="00CC5A3D">
        <w:t>GenAI</w:t>
      </w:r>
      <w:proofErr w:type="spellEnd"/>
      <w:r w:rsidRPr="00CC5A3D">
        <w:t xml:space="preserve">. Where appropriate, teachers can include original drafts, selected prompts, revisions, and short reflections as part of the task. Such requirements should remain proportionate to the learning goal and can be reduced as students become more capable of using </w:t>
      </w:r>
      <w:proofErr w:type="spellStart"/>
      <w:r w:rsidRPr="00CC5A3D">
        <w:t>GenAI</w:t>
      </w:r>
      <w:proofErr w:type="spellEnd"/>
      <w:r w:rsidRPr="00CC5A3D">
        <w:t xml:space="preserve"> independently.</w:t>
      </w:r>
    </w:p>
    <w:p w:rsidR="00A37717" w:rsidRPr="00CC5A3D" w:rsidRDefault="00A37717" w:rsidP="00D779AB">
      <w:pPr>
        <w:pStyle w:val="Heading3"/>
        <w:spacing w:line="360" w:lineRule="auto"/>
        <w:jc w:val="both"/>
        <w:rPr>
          <w:sz w:val="24"/>
          <w:szCs w:val="24"/>
        </w:rPr>
      </w:pPr>
      <w:r w:rsidRPr="00CC5A3D">
        <w:rPr>
          <w:sz w:val="24"/>
          <w:szCs w:val="24"/>
        </w:rPr>
        <w:t>5.3 Institutional and Policy Recommendations</w:t>
      </w:r>
    </w:p>
    <w:p w:rsidR="00A37717" w:rsidRPr="00CC5A3D" w:rsidRDefault="00A37717" w:rsidP="00D779AB">
      <w:pPr>
        <w:pStyle w:val="isselectedend"/>
        <w:spacing w:line="360" w:lineRule="auto"/>
        <w:jc w:val="both"/>
      </w:pPr>
      <w:r w:rsidRPr="00CC5A3D">
        <w:t xml:space="preserve">Universities should provide guidance that distinguishes among different learning and assessment purposes. </w:t>
      </w:r>
      <w:proofErr w:type="spellStart"/>
      <w:r w:rsidRPr="00CC5A3D">
        <w:t>GenAI</w:t>
      </w:r>
      <w:proofErr w:type="spellEnd"/>
      <w:r w:rsidRPr="00CC5A3D">
        <w:t xml:space="preserve"> may be permitted for brainstorming, practice, or formative feedback while being restricted in tasks designed to measure independent language ability. Clear task-level instructions are likely to be more useful than a single rule applied to every course and assessment.</w:t>
      </w:r>
    </w:p>
    <w:p w:rsidR="00A37717" w:rsidRPr="00CC5A3D" w:rsidRDefault="00A37717" w:rsidP="00D779AB">
      <w:pPr>
        <w:pStyle w:val="isselectedend"/>
        <w:spacing w:line="360" w:lineRule="auto"/>
        <w:jc w:val="both"/>
      </w:pPr>
      <w:r w:rsidRPr="00CC5A3D">
        <w:t>Institutions should also provide professional development that combines technical knowledge with task design, assessment, academic integrity, and data privacy. Teachers need opportunities to discuss realistic classroom cases and develop shared expectations about acceptable use. Students should receive clear information about disclosure requirements and the types of data that should not be entered into public AI platforms.</w:t>
      </w:r>
    </w:p>
    <w:p w:rsidR="00A37717" w:rsidRPr="00CC5A3D" w:rsidRDefault="00A37717" w:rsidP="00D779AB">
      <w:pPr>
        <w:pStyle w:val="Heading3"/>
        <w:spacing w:line="360" w:lineRule="auto"/>
        <w:jc w:val="both"/>
        <w:rPr>
          <w:sz w:val="24"/>
          <w:szCs w:val="24"/>
        </w:rPr>
      </w:pPr>
      <w:r w:rsidRPr="00CC5A3D">
        <w:rPr>
          <w:sz w:val="24"/>
          <w:szCs w:val="24"/>
        </w:rPr>
        <w:t>5.4 Limitations and Suggestions for Future Research</w:t>
      </w:r>
    </w:p>
    <w:p w:rsidR="00A37717" w:rsidRPr="00CC5A3D" w:rsidRDefault="00A37717" w:rsidP="00D779AB">
      <w:pPr>
        <w:pStyle w:val="isselectedend"/>
        <w:spacing w:line="360" w:lineRule="auto"/>
        <w:jc w:val="both"/>
      </w:pPr>
      <w:r w:rsidRPr="00CC5A3D">
        <w:t>This study drew on the self-reported views of 15 EFL teachers from three universities in Vietnam. The findings therefore represent teachers’ accounts of how they would respond to the task scenarios rather than direct evidence of what occurred in their classrooms. The study also did not include students’ perspectives or measure changes in language performance. These limitations restrict the extent to which the findings can be transferred to other institutions and learner groups.</w:t>
      </w:r>
    </w:p>
    <w:p w:rsidR="00A37717" w:rsidRPr="00CC5A3D" w:rsidRDefault="00A37717" w:rsidP="00D779AB">
      <w:pPr>
        <w:pStyle w:val="NormalWeb"/>
        <w:spacing w:line="360" w:lineRule="auto"/>
        <w:jc w:val="both"/>
      </w:pPr>
      <w:r w:rsidRPr="00CC5A3D">
        <w:t xml:space="preserve">Future studies could combine interviews with classroom observations, student work, prompt records, and reflections to examine how teacher guidance operates in practice. Longitudinal or intervention-based research could also investigate whether guided </w:t>
      </w:r>
      <w:proofErr w:type="spellStart"/>
      <w:r w:rsidRPr="00CC5A3D">
        <w:t>GenAI</w:t>
      </w:r>
      <w:proofErr w:type="spellEnd"/>
      <w:r w:rsidRPr="00CC5A3D">
        <w:t xml:space="preserve"> use supports independent language performance after AI assistance is removed. Including students and teachers from different institutional and proficiency contexts would provide a fuller understanding of how responsible </w:t>
      </w:r>
      <w:proofErr w:type="spellStart"/>
      <w:r w:rsidRPr="00CC5A3D">
        <w:t>GenAI</w:t>
      </w:r>
      <w:proofErr w:type="spellEnd"/>
      <w:r w:rsidRPr="00CC5A3D">
        <w:t xml:space="preserve"> use develops over time.</w:t>
      </w:r>
    </w:p>
    <w:p w:rsidR="00D21688" w:rsidRPr="00CC5A3D" w:rsidRDefault="00D21688" w:rsidP="00D779AB">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CC5A3D">
        <w:rPr>
          <w:rFonts w:ascii="Times New Roman" w:eastAsia="Times New Roman" w:hAnsi="Times New Roman" w:cs="Times New Roman"/>
          <w:b/>
          <w:bCs/>
          <w:sz w:val="24"/>
          <w:szCs w:val="24"/>
        </w:rPr>
        <w:lastRenderedPageBreak/>
        <w:t>References</w:t>
      </w:r>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Braun, V., &amp; Clarke, V. (2006). Using thematic analysis in psychology. </w:t>
      </w:r>
      <w:r w:rsidRPr="00CC5A3D">
        <w:rPr>
          <w:rFonts w:ascii="Times New Roman" w:eastAsia="Times New Roman" w:hAnsi="Times New Roman" w:cs="Times New Roman"/>
          <w:i/>
          <w:iCs/>
          <w:sz w:val="24"/>
          <w:szCs w:val="24"/>
        </w:rPr>
        <w:t>Qualitative Research in Psychology, 3</w:t>
      </w:r>
      <w:r w:rsidRPr="00CC5A3D">
        <w:rPr>
          <w:rFonts w:ascii="Times New Roman" w:eastAsia="Times New Roman" w:hAnsi="Times New Roman" w:cs="Times New Roman"/>
          <w:sz w:val="24"/>
          <w:szCs w:val="24"/>
        </w:rPr>
        <w:t xml:space="preserve">(2), 77–101. </w:t>
      </w:r>
      <w:hyperlink r:id="rId5" w:history="1">
        <w:r w:rsidRPr="00CC5A3D">
          <w:rPr>
            <w:rFonts w:ascii="Times New Roman" w:eastAsia="Times New Roman" w:hAnsi="Times New Roman" w:cs="Times New Roman"/>
            <w:color w:val="0000FF"/>
            <w:sz w:val="24"/>
            <w:szCs w:val="24"/>
            <w:u w:val="single"/>
          </w:rPr>
          <w:t>https://doi.org/10.1191/1478088706qp063oa</w:t>
        </w:r>
      </w:hyperlink>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Braun, V., &amp; Clarke, V. (2019). Reflecting on reflexive thematic analysis. </w:t>
      </w:r>
      <w:r w:rsidRPr="00CC5A3D">
        <w:rPr>
          <w:rFonts w:ascii="Times New Roman" w:eastAsia="Times New Roman" w:hAnsi="Times New Roman" w:cs="Times New Roman"/>
          <w:i/>
          <w:iCs/>
          <w:sz w:val="24"/>
          <w:szCs w:val="24"/>
        </w:rPr>
        <w:t>Qualitative Research in Sport, Exercise and Health, 11</w:t>
      </w:r>
      <w:r w:rsidRPr="00CC5A3D">
        <w:rPr>
          <w:rFonts w:ascii="Times New Roman" w:eastAsia="Times New Roman" w:hAnsi="Times New Roman" w:cs="Times New Roman"/>
          <w:sz w:val="24"/>
          <w:szCs w:val="24"/>
        </w:rPr>
        <w:t xml:space="preserve">(4), 589–597. </w:t>
      </w:r>
      <w:hyperlink r:id="rId6" w:history="1">
        <w:r w:rsidRPr="00CC5A3D">
          <w:rPr>
            <w:rFonts w:ascii="Times New Roman" w:eastAsia="Times New Roman" w:hAnsi="Times New Roman" w:cs="Times New Roman"/>
            <w:color w:val="0000FF"/>
            <w:sz w:val="24"/>
            <w:szCs w:val="24"/>
            <w:u w:val="single"/>
          </w:rPr>
          <w:t>https://doi.org/10.1080/2159676X.2019.1628806</w:t>
        </w:r>
      </w:hyperlink>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Creswell, J. W., &amp; </w:t>
      </w:r>
      <w:proofErr w:type="spellStart"/>
      <w:r w:rsidRPr="00CC5A3D">
        <w:rPr>
          <w:rFonts w:ascii="Times New Roman" w:eastAsia="Times New Roman" w:hAnsi="Times New Roman" w:cs="Times New Roman"/>
          <w:sz w:val="24"/>
          <w:szCs w:val="24"/>
        </w:rPr>
        <w:t>Poth</w:t>
      </w:r>
      <w:proofErr w:type="spellEnd"/>
      <w:r w:rsidRPr="00CC5A3D">
        <w:rPr>
          <w:rFonts w:ascii="Times New Roman" w:eastAsia="Times New Roman" w:hAnsi="Times New Roman" w:cs="Times New Roman"/>
          <w:sz w:val="24"/>
          <w:szCs w:val="24"/>
        </w:rPr>
        <w:t xml:space="preserve">, C. N. (2018). </w:t>
      </w:r>
      <w:r w:rsidRPr="00CC5A3D">
        <w:rPr>
          <w:rFonts w:ascii="Times New Roman" w:eastAsia="Times New Roman" w:hAnsi="Times New Roman" w:cs="Times New Roman"/>
          <w:i/>
          <w:iCs/>
          <w:sz w:val="24"/>
          <w:szCs w:val="24"/>
        </w:rPr>
        <w:t>Qualitative inquiry and research design: Choosing among five approaches</w:t>
      </w:r>
      <w:r w:rsidRPr="00CC5A3D">
        <w:rPr>
          <w:rFonts w:ascii="Times New Roman" w:eastAsia="Times New Roman" w:hAnsi="Times New Roman" w:cs="Times New Roman"/>
          <w:sz w:val="24"/>
          <w:szCs w:val="24"/>
        </w:rPr>
        <w:t xml:space="preserve"> (4th ed.). SAGE Publications.</w:t>
      </w:r>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proofErr w:type="spellStart"/>
      <w:r w:rsidRPr="00CC5A3D">
        <w:rPr>
          <w:rFonts w:ascii="Times New Roman" w:eastAsia="Times New Roman" w:hAnsi="Times New Roman" w:cs="Times New Roman"/>
          <w:sz w:val="24"/>
          <w:szCs w:val="24"/>
        </w:rPr>
        <w:t>Kallio</w:t>
      </w:r>
      <w:proofErr w:type="spellEnd"/>
      <w:r w:rsidRPr="00CC5A3D">
        <w:rPr>
          <w:rFonts w:ascii="Times New Roman" w:eastAsia="Times New Roman" w:hAnsi="Times New Roman" w:cs="Times New Roman"/>
          <w:sz w:val="24"/>
          <w:szCs w:val="24"/>
        </w:rPr>
        <w:t xml:space="preserve">, H., </w:t>
      </w:r>
      <w:proofErr w:type="spellStart"/>
      <w:r w:rsidRPr="00CC5A3D">
        <w:rPr>
          <w:rFonts w:ascii="Times New Roman" w:eastAsia="Times New Roman" w:hAnsi="Times New Roman" w:cs="Times New Roman"/>
          <w:sz w:val="24"/>
          <w:szCs w:val="24"/>
        </w:rPr>
        <w:t>Pietilä</w:t>
      </w:r>
      <w:proofErr w:type="spellEnd"/>
      <w:r w:rsidRPr="00CC5A3D">
        <w:rPr>
          <w:rFonts w:ascii="Times New Roman" w:eastAsia="Times New Roman" w:hAnsi="Times New Roman" w:cs="Times New Roman"/>
          <w:sz w:val="24"/>
          <w:szCs w:val="24"/>
        </w:rPr>
        <w:t xml:space="preserve">, A.-M., Johnson, M., &amp; </w:t>
      </w:r>
      <w:proofErr w:type="spellStart"/>
      <w:r w:rsidRPr="00CC5A3D">
        <w:rPr>
          <w:rFonts w:ascii="Times New Roman" w:eastAsia="Times New Roman" w:hAnsi="Times New Roman" w:cs="Times New Roman"/>
          <w:sz w:val="24"/>
          <w:szCs w:val="24"/>
        </w:rPr>
        <w:t>Kangasniemi</w:t>
      </w:r>
      <w:proofErr w:type="spellEnd"/>
      <w:r w:rsidRPr="00CC5A3D">
        <w:rPr>
          <w:rFonts w:ascii="Times New Roman" w:eastAsia="Times New Roman" w:hAnsi="Times New Roman" w:cs="Times New Roman"/>
          <w:sz w:val="24"/>
          <w:szCs w:val="24"/>
        </w:rPr>
        <w:t xml:space="preserve">, M. (2016). Systematic methodological review: Developing a framework for a qualitative semi-structured interview guide. </w:t>
      </w:r>
      <w:r w:rsidRPr="00CC5A3D">
        <w:rPr>
          <w:rFonts w:ascii="Times New Roman" w:eastAsia="Times New Roman" w:hAnsi="Times New Roman" w:cs="Times New Roman"/>
          <w:i/>
          <w:iCs/>
          <w:sz w:val="24"/>
          <w:szCs w:val="24"/>
        </w:rPr>
        <w:t>Journal of Advanced Nursing, 72</w:t>
      </w:r>
      <w:r w:rsidRPr="00CC5A3D">
        <w:rPr>
          <w:rFonts w:ascii="Times New Roman" w:eastAsia="Times New Roman" w:hAnsi="Times New Roman" w:cs="Times New Roman"/>
          <w:sz w:val="24"/>
          <w:szCs w:val="24"/>
        </w:rPr>
        <w:t xml:space="preserve">(12), 2954–2965. </w:t>
      </w:r>
      <w:hyperlink r:id="rId7" w:history="1">
        <w:r w:rsidRPr="00CC5A3D">
          <w:rPr>
            <w:rFonts w:ascii="Times New Roman" w:eastAsia="Times New Roman" w:hAnsi="Times New Roman" w:cs="Times New Roman"/>
            <w:color w:val="0000FF"/>
            <w:sz w:val="24"/>
            <w:szCs w:val="24"/>
            <w:u w:val="single"/>
          </w:rPr>
          <w:t>https://doi.org/10.1111/jan.13031</w:t>
        </w:r>
      </w:hyperlink>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proofErr w:type="spellStart"/>
      <w:r w:rsidRPr="00CC5A3D">
        <w:rPr>
          <w:rFonts w:ascii="Times New Roman" w:eastAsia="Times New Roman" w:hAnsi="Times New Roman" w:cs="Times New Roman"/>
          <w:sz w:val="24"/>
          <w:szCs w:val="24"/>
        </w:rPr>
        <w:t>Kohnke</w:t>
      </w:r>
      <w:proofErr w:type="spellEnd"/>
      <w:r w:rsidRPr="00CC5A3D">
        <w:rPr>
          <w:rFonts w:ascii="Times New Roman" w:eastAsia="Times New Roman" w:hAnsi="Times New Roman" w:cs="Times New Roman"/>
          <w:sz w:val="24"/>
          <w:szCs w:val="24"/>
        </w:rPr>
        <w:t xml:space="preserve">, L., </w:t>
      </w:r>
      <w:proofErr w:type="spellStart"/>
      <w:r w:rsidRPr="00CC5A3D">
        <w:rPr>
          <w:rFonts w:ascii="Times New Roman" w:eastAsia="Times New Roman" w:hAnsi="Times New Roman" w:cs="Times New Roman"/>
          <w:sz w:val="24"/>
          <w:szCs w:val="24"/>
        </w:rPr>
        <w:t>Moorhouse</w:t>
      </w:r>
      <w:proofErr w:type="spellEnd"/>
      <w:r w:rsidRPr="00CC5A3D">
        <w:rPr>
          <w:rFonts w:ascii="Times New Roman" w:eastAsia="Times New Roman" w:hAnsi="Times New Roman" w:cs="Times New Roman"/>
          <w:sz w:val="24"/>
          <w:szCs w:val="24"/>
        </w:rPr>
        <w:t xml:space="preserve">, B. L., &amp; Zou, D. (2023a). </w:t>
      </w:r>
      <w:proofErr w:type="spellStart"/>
      <w:r w:rsidRPr="00CC5A3D">
        <w:rPr>
          <w:rFonts w:ascii="Times New Roman" w:eastAsia="Times New Roman" w:hAnsi="Times New Roman" w:cs="Times New Roman"/>
          <w:sz w:val="24"/>
          <w:szCs w:val="24"/>
        </w:rPr>
        <w:t>ChatGPT</w:t>
      </w:r>
      <w:proofErr w:type="spellEnd"/>
      <w:r w:rsidRPr="00CC5A3D">
        <w:rPr>
          <w:rFonts w:ascii="Times New Roman" w:eastAsia="Times New Roman" w:hAnsi="Times New Roman" w:cs="Times New Roman"/>
          <w:sz w:val="24"/>
          <w:szCs w:val="24"/>
        </w:rPr>
        <w:t xml:space="preserve"> for language teaching and learning. </w:t>
      </w:r>
      <w:r w:rsidRPr="00CC5A3D">
        <w:rPr>
          <w:rFonts w:ascii="Times New Roman" w:eastAsia="Times New Roman" w:hAnsi="Times New Roman" w:cs="Times New Roman"/>
          <w:i/>
          <w:iCs/>
          <w:sz w:val="24"/>
          <w:szCs w:val="24"/>
        </w:rPr>
        <w:t>RELC Journal, 54</w:t>
      </w:r>
      <w:r w:rsidRPr="00CC5A3D">
        <w:rPr>
          <w:rFonts w:ascii="Times New Roman" w:eastAsia="Times New Roman" w:hAnsi="Times New Roman" w:cs="Times New Roman"/>
          <w:sz w:val="24"/>
          <w:szCs w:val="24"/>
        </w:rPr>
        <w:t xml:space="preserve">(2), 537–550. </w:t>
      </w:r>
      <w:hyperlink r:id="rId8" w:history="1">
        <w:r w:rsidRPr="00CC5A3D">
          <w:rPr>
            <w:rFonts w:ascii="Times New Roman" w:eastAsia="Times New Roman" w:hAnsi="Times New Roman" w:cs="Times New Roman"/>
            <w:color w:val="0000FF"/>
            <w:sz w:val="24"/>
            <w:szCs w:val="24"/>
            <w:u w:val="single"/>
          </w:rPr>
          <w:t>https://doi.org/10.1177/00336882231162868</w:t>
        </w:r>
      </w:hyperlink>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proofErr w:type="spellStart"/>
      <w:r w:rsidRPr="00CC5A3D">
        <w:rPr>
          <w:rFonts w:ascii="Times New Roman" w:eastAsia="Times New Roman" w:hAnsi="Times New Roman" w:cs="Times New Roman"/>
          <w:sz w:val="24"/>
          <w:szCs w:val="24"/>
        </w:rPr>
        <w:t>Kohnke</w:t>
      </w:r>
      <w:proofErr w:type="spellEnd"/>
      <w:r w:rsidRPr="00CC5A3D">
        <w:rPr>
          <w:rFonts w:ascii="Times New Roman" w:eastAsia="Times New Roman" w:hAnsi="Times New Roman" w:cs="Times New Roman"/>
          <w:sz w:val="24"/>
          <w:szCs w:val="24"/>
        </w:rPr>
        <w:t xml:space="preserve">, L., </w:t>
      </w:r>
      <w:proofErr w:type="spellStart"/>
      <w:r w:rsidRPr="00CC5A3D">
        <w:rPr>
          <w:rFonts w:ascii="Times New Roman" w:eastAsia="Times New Roman" w:hAnsi="Times New Roman" w:cs="Times New Roman"/>
          <w:sz w:val="24"/>
          <w:szCs w:val="24"/>
        </w:rPr>
        <w:t>Moorhouse</w:t>
      </w:r>
      <w:proofErr w:type="spellEnd"/>
      <w:r w:rsidRPr="00CC5A3D">
        <w:rPr>
          <w:rFonts w:ascii="Times New Roman" w:eastAsia="Times New Roman" w:hAnsi="Times New Roman" w:cs="Times New Roman"/>
          <w:sz w:val="24"/>
          <w:szCs w:val="24"/>
        </w:rPr>
        <w:t xml:space="preserve">, B. L., &amp; Zou, D. (2023b). Exploring generative artificial intelligence preparedness among university language instructors: A case study. </w:t>
      </w:r>
      <w:r w:rsidRPr="00CC5A3D">
        <w:rPr>
          <w:rFonts w:ascii="Times New Roman" w:eastAsia="Times New Roman" w:hAnsi="Times New Roman" w:cs="Times New Roman"/>
          <w:i/>
          <w:iCs/>
          <w:sz w:val="24"/>
          <w:szCs w:val="24"/>
        </w:rPr>
        <w:t>Computers and Education: Artificial Intelligence, 5</w:t>
      </w:r>
      <w:r w:rsidRPr="00CC5A3D">
        <w:rPr>
          <w:rFonts w:ascii="Times New Roman" w:eastAsia="Times New Roman" w:hAnsi="Times New Roman" w:cs="Times New Roman"/>
          <w:sz w:val="24"/>
          <w:szCs w:val="24"/>
        </w:rPr>
        <w:t xml:space="preserve">, Article 100156. </w:t>
      </w:r>
      <w:hyperlink r:id="rId9" w:history="1">
        <w:r w:rsidRPr="00CC5A3D">
          <w:rPr>
            <w:rFonts w:ascii="Times New Roman" w:eastAsia="Times New Roman" w:hAnsi="Times New Roman" w:cs="Times New Roman"/>
            <w:color w:val="0000FF"/>
            <w:sz w:val="24"/>
            <w:szCs w:val="24"/>
            <w:u w:val="single"/>
          </w:rPr>
          <w:t>https://doi.org/10.1016/j.caeai.2023.100156</w:t>
        </w:r>
      </w:hyperlink>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Law, L. (2024). Application of generative artificial intelligence (</w:t>
      </w:r>
      <w:proofErr w:type="spellStart"/>
      <w:r w:rsidRPr="00CC5A3D">
        <w:rPr>
          <w:rFonts w:ascii="Times New Roman" w:eastAsia="Times New Roman" w:hAnsi="Times New Roman" w:cs="Times New Roman"/>
          <w:sz w:val="24"/>
          <w:szCs w:val="24"/>
        </w:rPr>
        <w:t>GenAI</w:t>
      </w:r>
      <w:proofErr w:type="spellEnd"/>
      <w:r w:rsidRPr="00CC5A3D">
        <w:rPr>
          <w:rFonts w:ascii="Times New Roman" w:eastAsia="Times New Roman" w:hAnsi="Times New Roman" w:cs="Times New Roman"/>
          <w:sz w:val="24"/>
          <w:szCs w:val="24"/>
        </w:rPr>
        <w:t xml:space="preserve">) in language teaching and learning: A scoping literature review. </w:t>
      </w:r>
      <w:r w:rsidRPr="00CC5A3D">
        <w:rPr>
          <w:rFonts w:ascii="Times New Roman" w:eastAsia="Times New Roman" w:hAnsi="Times New Roman" w:cs="Times New Roman"/>
          <w:i/>
          <w:iCs/>
          <w:sz w:val="24"/>
          <w:szCs w:val="24"/>
        </w:rPr>
        <w:t>Computers and Education Open, 6</w:t>
      </w:r>
      <w:r w:rsidRPr="00CC5A3D">
        <w:rPr>
          <w:rFonts w:ascii="Times New Roman" w:eastAsia="Times New Roman" w:hAnsi="Times New Roman" w:cs="Times New Roman"/>
          <w:sz w:val="24"/>
          <w:szCs w:val="24"/>
        </w:rPr>
        <w:t xml:space="preserve">, Article 100174. </w:t>
      </w:r>
      <w:hyperlink r:id="rId10" w:history="1">
        <w:r w:rsidRPr="00CC5A3D">
          <w:rPr>
            <w:rFonts w:ascii="Times New Roman" w:eastAsia="Times New Roman" w:hAnsi="Times New Roman" w:cs="Times New Roman"/>
            <w:color w:val="0000FF"/>
            <w:sz w:val="24"/>
            <w:szCs w:val="24"/>
            <w:u w:val="single"/>
          </w:rPr>
          <w:t>https://doi.org/10.1016/j.caeo.2024.100174</w:t>
        </w:r>
      </w:hyperlink>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Lincoln, Y. S., &amp; </w:t>
      </w:r>
      <w:proofErr w:type="spellStart"/>
      <w:r w:rsidRPr="00CC5A3D">
        <w:rPr>
          <w:rFonts w:ascii="Times New Roman" w:eastAsia="Times New Roman" w:hAnsi="Times New Roman" w:cs="Times New Roman"/>
          <w:sz w:val="24"/>
          <w:szCs w:val="24"/>
        </w:rPr>
        <w:t>Guba</w:t>
      </w:r>
      <w:proofErr w:type="spellEnd"/>
      <w:r w:rsidRPr="00CC5A3D">
        <w:rPr>
          <w:rFonts w:ascii="Times New Roman" w:eastAsia="Times New Roman" w:hAnsi="Times New Roman" w:cs="Times New Roman"/>
          <w:sz w:val="24"/>
          <w:szCs w:val="24"/>
        </w:rPr>
        <w:t xml:space="preserve">, E. G. (1985). </w:t>
      </w:r>
      <w:r w:rsidRPr="00CC5A3D">
        <w:rPr>
          <w:rFonts w:ascii="Times New Roman" w:eastAsia="Times New Roman" w:hAnsi="Times New Roman" w:cs="Times New Roman"/>
          <w:i/>
          <w:iCs/>
          <w:sz w:val="24"/>
          <w:szCs w:val="24"/>
        </w:rPr>
        <w:t>Naturalistic inquiry</w:t>
      </w:r>
      <w:r w:rsidRPr="00CC5A3D">
        <w:rPr>
          <w:rFonts w:ascii="Times New Roman" w:eastAsia="Times New Roman" w:hAnsi="Times New Roman" w:cs="Times New Roman"/>
          <w:sz w:val="24"/>
          <w:szCs w:val="24"/>
        </w:rPr>
        <w:t>. SAGE Publications.</w:t>
      </w:r>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Lo, C. K., Yu, P. L. H., Xu, S., Ng, D. T. K., &amp; Jong, M. S.-Y. (2024). Exploring the application of </w:t>
      </w:r>
      <w:proofErr w:type="spellStart"/>
      <w:r w:rsidRPr="00CC5A3D">
        <w:rPr>
          <w:rFonts w:ascii="Times New Roman" w:eastAsia="Times New Roman" w:hAnsi="Times New Roman" w:cs="Times New Roman"/>
          <w:sz w:val="24"/>
          <w:szCs w:val="24"/>
        </w:rPr>
        <w:t>ChatGPT</w:t>
      </w:r>
      <w:proofErr w:type="spellEnd"/>
      <w:r w:rsidRPr="00CC5A3D">
        <w:rPr>
          <w:rFonts w:ascii="Times New Roman" w:eastAsia="Times New Roman" w:hAnsi="Times New Roman" w:cs="Times New Roman"/>
          <w:sz w:val="24"/>
          <w:szCs w:val="24"/>
        </w:rPr>
        <w:t xml:space="preserve"> in ESL/EFL education and related research issues: A systematic review of empirical studies. </w:t>
      </w:r>
      <w:r w:rsidRPr="00CC5A3D">
        <w:rPr>
          <w:rFonts w:ascii="Times New Roman" w:eastAsia="Times New Roman" w:hAnsi="Times New Roman" w:cs="Times New Roman"/>
          <w:i/>
          <w:iCs/>
          <w:sz w:val="24"/>
          <w:szCs w:val="24"/>
        </w:rPr>
        <w:t>Smart Learning Environments, 11</w:t>
      </w:r>
      <w:r w:rsidRPr="00CC5A3D">
        <w:rPr>
          <w:rFonts w:ascii="Times New Roman" w:eastAsia="Times New Roman" w:hAnsi="Times New Roman" w:cs="Times New Roman"/>
          <w:sz w:val="24"/>
          <w:szCs w:val="24"/>
        </w:rPr>
        <w:t xml:space="preserve">(1), Article 50. </w:t>
      </w:r>
      <w:hyperlink r:id="rId11" w:history="1">
        <w:r w:rsidRPr="00CC5A3D">
          <w:rPr>
            <w:rFonts w:ascii="Times New Roman" w:eastAsia="Times New Roman" w:hAnsi="Times New Roman" w:cs="Times New Roman"/>
            <w:color w:val="0000FF"/>
            <w:sz w:val="24"/>
            <w:szCs w:val="24"/>
            <w:u w:val="single"/>
          </w:rPr>
          <w:t>https://doi.org/10.1186/s40561-024-00342-5</w:t>
        </w:r>
      </w:hyperlink>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proofErr w:type="spellStart"/>
      <w:r w:rsidRPr="00CC5A3D">
        <w:rPr>
          <w:rFonts w:ascii="Times New Roman" w:eastAsia="Times New Roman" w:hAnsi="Times New Roman" w:cs="Times New Roman"/>
          <w:sz w:val="24"/>
          <w:szCs w:val="24"/>
        </w:rPr>
        <w:t>Malterud</w:t>
      </w:r>
      <w:proofErr w:type="spellEnd"/>
      <w:r w:rsidRPr="00CC5A3D">
        <w:rPr>
          <w:rFonts w:ascii="Times New Roman" w:eastAsia="Times New Roman" w:hAnsi="Times New Roman" w:cs="Times New Roman"/>
          <w:sz w:val="24"/>
          <w:szCs w:val="24"/>
        </w:rPr>
        <w:t xml:space="preserve">, K., </w:t>
      </w:r>
      <w:proofErr w:type="spellStart"/>
      <w:r w:rsidRPr="00CC5A3D">
        <w:rPr>
          <w:rFonts w:ascii="Times New Roman" w:eastAsia="Times New Roman" w:hAnsi="Times New Roman" w:cs="Times New Roman"/>
          <w:sz w:val="24"/>
          <w:szCs w:val="24"/>
        </w:rPr>
        <w:t>Siersma</w:t>
      </w:r>
      <w:proofErr w:type="spellEnd"/>
      <w:r w:rsidRPr="00CC5A3D">
        <w:rPr>
          <w:rFonts w:ascii="Times New Roman" w:eastAsia="Times New Roman" w:hAnsi="Times New Roman" w:cs="Times New Roman"/>
          <w:sz w:val="24"/>
          <w:szCs w:val="24"/>
        </w:rPr>
        <w:t xml:space="preserve">, V. D., &amp; </w:t>
      </w:r>
      <w:proofErr w:type="spellStart"/>
      <w:r w:rsidRPr="00CC5A3D">
        <w:rPr>
          <w:rFonts w:ascii="Times New Roman" w:eastAsia="Times New Roman" w:hAnsi="Times New Roman" w:cs="Times New Roman"/>
          <w:sz w:val="24"/>
          <w:szCs w:val="24"/>
        </w:rPr>
        <w:t>Guassora</w:t>
      </w:r>
      <w:proofErr w:type="spellEnd"/>
      <w:r w:rsidRPr="00CC5A3D">
        <w:rPr>
          <w:rFonts w:ascii="Times New Roman" w:eastAsia="Times New Roman" w:hAnsi="Times New Roman" w:cs="Times New Roman"/>
          <w:sz w:val="24"/>
          <w:szCs w:val="24"/>
        </w:rPr>
        <w:t xml:space="preserve">, A. D. (2016). Sample size in qualitative interview studies: Guided by information power. </w:t>
      </w:r>
      <w:r w:rsidRPr="00CC5A3D">
        <w:rPr>
          <w:rFonts w:ascii="Times New Roman" w:eastAsia="Times New Roman" w:hAnsi="Times New Roman" w:cs="Times New Roman"/>
          <w:i/>
          <w:iCs/>
          <w:sz w:val="24"/>
          <w:szCs w:val="24"/>
        </w:rPr>
        <w:t>Qualitative Health Research, 26</w:t>
      </w:r>
      <w:r w:rsidRPr="00CC5A3D">
        <w:rPr>
          <w:rFonts w:ascii="Times New Roman" w:eastAsia="Times New Roman" w:hAnsi="Times New Roman" w:cs="Times New Roman"/>
          <w:sz w:val="24"/>
          <w:szCs w:val="24"/>
        </w:rPr>
        <w:t xml:space="preserve">(13), 1753–1760. </w:t>
      </w:r>
      <w:hyperlink r:id="rId12" w:history="1">
        <w:r w:rsidRPr="00CC5A3D">
          <w:rPr>
            <w:rFonts w:ascii="Times New Roman" w:eastAsia="Times New Roman" w:hAnsi="Times New Roman" w:cs="Times New Roman"/>
            <w:color w:val="0000FF"/>
            <w:sz w:val="24"/>
            <w:szCs w:val="24"/>
            <w:u w:val="single"/>
          </w:rPr>
          <w:t>https://doi.org/10.1177/1049732315617444</w:t>
        </w:r>
      </w:hyperlink>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lastRenderedPageBreak/>
        <w:t xml:space="preserve">Miao, F., &amp; Holmes, W. (2023). </w:t>
      </w:r>
      <w:r w:rsidRPr="00CC5A3D">
        <w:rPr>
          <w:rFonts w:ascii="Times New Roman" w:eastAsia="Times New Roman" w:hAnsi="Times New Roman" w:cs="Times New Roman"/>
          <w:i/>
          <w:iCs/>
          <w:sz w:val="24"/>
          <w:szCs w:val="24"/>
        </w:rPr>
        <w:t>Guidance for generative AI in education and research</w:t>
      </w:r>
      <w:r w:rsidRPr="00CC5A3D">
        <w:rPr>
          <w:rFonts w:ascii="Times New Roman" w:eastAsia="Times New Roman" w:hAnsi="Times New Roman" w:cs="Times New Roman"/>
          <w:sz w:val="24"/>
          <w:szCs w:val="24"/>
        </w:rPr>
        <w:t xml:space="preserve">. UNESCO. </w:t>
      </w:r>
      <w:hyperlink r:id="rId13" w:history="1">
        <w:r w:rsidRPr="00CC5A3D">
          <w:rPr>
            <w:rFonts w:ascii="Times New Roman" w:eastAsia="Times New Roman" w:hAnsi="Times New Roman" w:cs="Times New Roman"/>
            <w:color w:val="0000FF"/>
            <w:sz w:val="24"/>
            <w:szCs w:val="24"/>
            <w:u w:val="single"/>
          </w:rPr>
          <w:t>https://unesdoc.unesco.org/ark:/48223/pf0000386693</w:t>
        </w:r>
      </w:hyperlink>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proofErr w:type="spellStart"/>
      <w:r w:rsidRPr="00CC5A3D">
        <w:rPr>
          <w:rFonts w:ascii="Times New Roman" w:eastAsia="Times New Roman" w:hAnsi="Times New Roman" w:cs="Times New Roman"/>
          <w:sz w:val="24"/>
          <w:szCs w:val="24"/>
        </w:rPr>
        <w:t>Moorhouse</w:t>
      </w:r>
      <w:proofErr w:type="spellEnd"/>
      <w:r w:rsidRPr="00CC5A3D">
        <w:rPr>
          <w:rFonts w:ascii="Times New Roman" w:eastAsia="Times New Roman" w:hAnsi="Times New Roman" w:cs="Times New Roman"/>
          <w:sz w:val="24"/>
          <w:szCs w:val="24"/>
        </w:rPr>
        <w:t xml:space="preserve">, B. L., Wan, Y., Wu, C., </w:t>
      </w:r>
      <w:proofErr w:type="spellStart"/>
      <w:r w:rsidRPr="00CC5A3D">
        <w:rPr>
          <w:rFonts w:ascii="Times New Roman" w:eastAsia="Times New Roman" w:hAnsi="Times New Roman" w:cs="Times New Roman"/>
          <w:sz w:val="24"/>
          <w:szCs w:val="24"/>
        </w:rPr>
        <w:t>Kohnke</w:t>
      </w:r>
      <w:proofErr w:type="spellEnd"/>
      <w:r w:rsidRPr="00CC5A3D">
        <w:rPr>
          <w:rFonts w:ascii="Times New Roman" w:eastAsia="Times New Roman" w:hAnsi="Times New Roman" w:cs="Times New Roman"/>
          <w:sz w:val="24"/>
          <w:szCs w:val="24"/>
        </w:rPr>
        <w:t xml:space="preserve">, L., Ho, T. Y., &amp; </w:t>
      </w:r>
      <w:proofErr w:type="spellStart"/>
      <w:r w:rsidRPr="00CC5A3D">
        <w:rPr>
          <w:rFonts w:ascii="Times New Roman" w:eastAsia="Times New Roman" w:hAnsi="Times New Roman" w:cs="Times New Roman"/>
          <w:sz w:val="24"/>
          <w:szCs w:val="24"/>
        </w:rPr>
        <w:t>Kwong</w:t>
      </w:r>
      <w:proofErr w:type="spellEnd"/>
      <w:r w:rsidRPr="00CC5A3D">
        <w:rPr>
          <w:rFonts w:ascii="Times New Roman" w:eastAsia="Times New Roman" w:hAnsi="Times New Roman" w:cs="Times New Roman"/>
          <w:sz w:val="24"/>
          <w:szCs w:val="24"/>
        </w:rPr>
        <w:t xml:space="preserve">, T. (2024). Developing language teachers’ professional generative AI competence: An intervention study in an initial language teacher education course. </w:t>
      </w:r>
      <w:r w:rsidRPr="00CC5A3D">
        <w:rPr>
          <w:rFonts w:ascii="Times New Roman" w:eastAsia="Times New Roman" w:hAnsi="Times New Roman" w:cs="Times New Roman"/>
          <w:i/>
          <w:iCs/>
          <w:sz w:val="24"/>
          <w:szCs w:val="24"/>
        </w:rPr>
        <w:t>System, 125</w:t>
      </w:r>
      <w:r w:rsidRPr="00CC5A3D">
        <w:rPr>
          <w:rFonts w:ascii="Times New Roman" w:eastAsia="Times New Roman" w:hAnsi="Times New Roman" w:cs="Times New Roman"/>
          <w:sz w:val="24"/>
          <w:szCs w:val="24"/>
        </w:rPr>
        <w:t xml:space="preserve">, Article 103399. </w:t>
      </w:r>
      <w:hyperlink r:id="rId14" w:history="1">
        <w:r w:rsidRPr="00CC5A3D">
          <w:rPr>
            <w:rFonts w:ascii="Times New Roman" w:eastAsia="Times New Roman" w:hAnsi="Times New Roman" w:cs="Times New Roman"/>
            <w:color w:val="0000FF"/>
            <w:sz w:val="24"/>
            <w:szCs w:val="24"/>
            <w:u w:val="single"/>
          </w:rPr>
          <w:t>https://doi.org/10.1016/j.system.2024.103399</w:t>
        </w:r>
      </w:hyperlink>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Vygotsky, L. S. (1978). </w:t>
      </w:r>
      <w:r w:rsidRPr="00CC5A3D">
        <w:rPr>
          <w:rFonts w:ascii="Times New Roman" w:eastAsia="Times New Roman" w:hAnsi="Times New Roman" w:cs="Times New Roman"/>
          <w:i/>
          <w:iCs/>
          <w:sz w:val="24"/>
          <w:szCs w:val="24"/>
        </w:rPr>
        <w:t>Mind in society: The development of higher psychological processes</w:t>
      </w:r>
      <w:r w:rsidRPr="00CC5A3D">
        <w:rPr>
          <w:rFonts w:ascii="Times New Roman" w:eastAsia="Times New Roman" w:hAnsi="Times New Roman" w:cs="Times New Roman"/>
          <w:sz w:val="24"/>
          <w:szCs w:val="24"/>
        </w:rPr>
        <w:t xml:space="preserve"> (M. Cole, V. John-Steiner, S. Scribner, &amp; E. </w:t>
      </w:r>
      <w:proofErr w:type="spellStart"/>
      <w:r w:rsidRPr="00CC5A3D">
        <w:rPr>
          <w:rFonts w:ascii="Times New Roman" w:eastAsia="Times New Roman" w:hAnsi="Times New Roman" w:cs="Times New Roman"/>
          <w:sz w:val="24"/>
          <w:szCs w:val="24"/>
        </w:rPr>
        <w:t>Souberman</w:t>
      </w:r>
      <w:proofErr w:type="spellEnd"/>
      <w:r w:rsidRPr="00CC5A3D">
        <w:rPr>
          <w:rFonts w:ascii="Times New Roman" w:eastAsia="Times New Roman" w:hAnsi="Times New Roman" w:cs="Times New Roman"/>
          <w:sz w:val="24"/>
          <w:szCs w:val="24"/>
        </w:rPr>
        <w:t>, Eds.). Harvard University Press.</w:t>
      </w:r>
    </w:p>
    <w:p w:rsidR="006A262A" w:rsidRPr="00CC5A3D" w:rsidRDefault="006A262A" w:rsidP="00D779AB">
      <w:pPr>
        <w:spacing w:before="100" w:beforeAutospacing="1" w:after="100" w:afterAutospacing="1" w:line="360" w:lineRule="auto"/>
        <w:rPr>
          <w:rFonts w:ascii="Times New Roman" w:eastAsia="Times New Roman" w:hAnsi="Times New Roman" w:cs="Times New Roman"/>
          <w:sz w:val="24"/>
          <w:szCs w:val="24"/>
        </w:rPr>
      </w:pPr>
      <w:r w:rsidRPr="00CC5A3D">
        <w:rPr>
          <w:rFonts w:ascii="Times New Roman" w:eastAsia="Times New Roman" w:hAnsi="Times New Roman" w:cs="Times New Roman"/>
          <w:sz w:val="24"/>
          <w:szCs w:val="24"/>
        </w:rPr>
        <w:t xml:space="preserve">Wood, D., Bruner, J. S., &amp; Ross, G. (1976). The role of tutoring in problem solving. </w:t>
      </w:r>
      <w:r w:rsidRPr="00CC5A3D">
        <w:rPr>
          <w:rFonts w:ascii="Times New Roman" w:eastAsia="Times New Roman" w:hAnsi="Times New Roman" w:cs="Times New Roman"/>
          <w:i/>
          <w:iCs/>
          <w:sz w:val="24"/>
          <w:szCs w:val="24"/>
        </w:rPr>
        <w:t>Journal of Child Psychology and Psychiatry, 17</w:t>
      </w:r>
      <w:r w:rsidRPr="00CC5A3D">
        <w:rPr>
          <w:rFonts w:ascii="Times New Roman" w:eastAsia="Times New Roman" w:hAnsi="Times New Roman" w:cs="Times New Roman"/>
          <w:sz w:val="24"/>
          <w:szCs w:val="24"/>
        </w:rPr>
        <w:t xml:space="preserve">(2), 89–100. </w:t>
      </w:r>
      <w:hyperlink r:id="rId15" w:history="1">
        <w:r w:rsidRPr="00CC5A3D">
          <w:rPr>
            <w:rFonts w:ascii="Times New Roman" w:eastAsia="Times New Roman" w:hAnsi="Times New Roman" w:cs="Times New Roman"/>
            <w:color w:val="0000FF"/>
            <w:sz w:val="24"/>
            <w:szCs w:val="24"/>
            <w:u w:val="single"/>
          </w:rPr>
          <w:t>https://doi.org/10.1111/j.1469-7610.1976.tb00381.x</w:t>
        </w:r>
      </w:hyperlink>
    </w:p>
    <w:p w:rsidR="00D54FF4" w:rsidRPr="00CC5A3D" w:rsidRDefault="00D54FF4" w:rsidP="00D779AB">
      <w:pPr>
        <w:spacing w:before="100" w:beforeAutospacing="1" w:after="100" w:afterAutospacing="1" w:line="360" w:lineRule="auto"/>
        <w:ind w:left="720"/>
        <w:jc w:val="both"/>
        <w:rPr>
          <w:rFonts w:ascii="Times New Roman" w:hAnsi="Times New Roman" w:cs="Times New Roman"/>
          <w:sz w:val="24"/>
          <w:szCs w:val="24"/>
        </w:rPr>
      </w:pPr>
    </w:p>
    <w:sectPr w:rsidR="00D54FF4" w:rsidRPr="00CC5A3D" w:rsidSect="00DA1452">
      <w:pgSz w:w="12240" w:h="15840"/>
      <w:pgMar w:top="1152" w:right="1008" w:bottom="72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154AA"/>
    <w:multiLevelType w:val="multilevel"/>
    <w:tmpl w:val="72D4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C687B"/>
    <w:multiLevelType w:val="multilevel"/>
    <w:tmpl w:val="1DDA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103A6"/>
    <w:multiLevelType w:val="multilevel"/>
    <w:tmpl w:val="32CC2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25CDA"/>
    <w:multiLevelType w:val="multilevel"/>
    <w:tmpl w:val="C13C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E73FE8"/>
    <w:multiLevelType w:val="multilevel"/>
    <w:tmpl w:val="CF38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E319A0"/>
    <w:multiLevelType w:val="multilevel"/>
    <w:tmpl w:val="6BA6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8D2DE1"/>
    <w:multiLevelType w:val="multilevel"/>
    <w:tmpl w:val="762E1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6B512D"/>
    <w:multiLevelType w:val="multilevel"/>
    <w:tmpl w:val="02B41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0C1E7F"/>
    <w:multiLevelType w:val="multilevel"/>
    <w:tmpl w:val="58006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814F8C"/>
    <w:multiLevelType w:val="multilevel"/>
    <w:tmpl w:val="FB06E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8"/>
  </w:num>
  <w:num w:numId="5">
    <w:abstractNumId w:val="0"/>
  </w:num>
  <w:num w:numId="6">
    <w:abstractNumId w:val="7"/>
  </w:num>
  <w:num w:numId="7">
    <w:abstractNumId w:val="3"/>
  </w:num>
  <w:num w:numId="8">
    <w:abstractNumId w:val="4"/>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688"/>
    <w:rsid w:val="00043593"/>
    <w:rsid w:val="003E06E4"/>
    <w:rsid w:val="00461403"/>
    <w:rsid w:val="00570807"/>
    <w:rsid w:val="00584F92"/>
    <w:rsid w:val="006A262A"/>
    <w:rsid w:val="0071483E"/>
    <w:rsid w:val="00725573"/>
    <w:rsid w:val="007F6529"/>
    <w:rsid w:val="008032F2"/>
    <w:rsid w:val="0083007C"/>
    <w:rsid w:val="00A37717"/>
    <w:rsid w:val="00A521A3"/>
    <w:rsid w:val="00AE517D"/>
    <w:rsid w:val="00AF236F"/>
    <w:rsid w:val="00B34B3F"/>
    <w:rsid w:val="00BB47FE"/>
    <w:rsid w:val="00BD4887"/>
    <w:rsid w:val="00C6700B"/>
    <w:rsid w:val="00C81E21"/>
    <w:rsid w:val="00CC5A3D"/>
    <w:rsid w:val="00D21688"/>
    <w:rsid w:val="00D54FF4"/>
    <w:rsid w:val="00D779AB"/>
    <w:rsid w:val="00DA1452"/>
    <w:rsid w:val="00E37110"/>
    <w:rsid w:val="00EA2CEB"/>
    <w:rsid w:val="00F00D7A"/>
    <w:rsid w:val="00F26CD4"/>
    <w:rsid w:val="00FD5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CB139"/>
  <w15:chartTrackingRefBased/>
  <w15:docId w15:val="{8689FFD8-5D9C-47BD-AB34-B0146EF36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216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2168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2168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68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2168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2168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21688"/>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D21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21688"/>
    <w:rPr>
      <w:rFonts w:ascii="Courier New" w:eastAsia="Times New Roman" w:hAnsi="Courier New" w:cs="Courier New"/>
      <w:sz w:val="20"/>
      <w:szCs w:val="20"/>
    </w:rPr>
  </w:style>
  <w:style w:type="character" w:styleId="HTMLCode">
    <w:name w:val="HTML Code"/>
    <w:basedOn w:val="DefaultParagraphFont"/>
    <w:uiPriority w:val="99"/>
    <w:semiHidden/>
    <w:unhideWhenUsed/>
    <w:rsid w:val="00D21688"/>
    <w:rPr>
      <w:rFonts w:ascii="Courier New" w:eastAsia="Times New Roman" w:hAnsi="Courier New" w:cs="Courier New"/>
      <w:sz w:val="20"/>
      <w:szCs w:val="20"/>
    </w:rPr>
  </w:style>
  <w:style w:type="character" w:styleId="Hyperlink">
    <w:name w:val="Hyperlink"/>
    <w:basedOn w:val="DefaultParagraphFont"/>
    <w:uiPriority w:val="99"/>
    <w:semiHidden/>
    <w:unhideWhenUsed/>
    <w:rsid w:val="00D21688"/>
    <w:rPr>
      <w:color w:val="0000FF"/>
      <w:u w:val="single"/>
    </w:rPr>
  </w:style>
  <w:style w:type="paragraph" w:customStyle="1" w:styleId="isselectedend">
    <w:name w:val="isselectedend"/>
    <w:basedOn w:val="Normal"/>
    <w:rsid w:val="00B34B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B3F"/>
    <w:rPr>
      <w:b/>
      <w:bCs/>
    </w:rPr>
  </w:style>
  <w:style w:type="character" w:styleId="Emphasis">
    <w:name w:val="Emphasis"/>
    <w:basedOn w:val="DefaultParagraphFont"/>
    <w:uiPriority w:val="20"/>
    <w:qFormat/>
    <w:rsid w:val="00B34B3F"/>
    <w:rPr>
      <w:i/>
      <w:iCs/>
    </w:rPr>
  </w:style>
  <w:style w:type="paragraph" w:customStyle="1" w:styleId="pdq2pgselectionanchorcontainer">
    <w:name w:val="pdq2pg_selectionanchorcontainer"/>
    <w:basedOn w:val="Normal"/>
    <w:rsid w:val="00BD48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19181">
      <w:bodyDiv w:val="1"/>
      <w:marLeft w:val="0"/>
      <w:marRight w:val="0"/>
      <w:marTop w:val="0"/>
      <w:marBottom w:val="0"/>
      <w:divBdr>
        <w:top w:val="none" w:sz="0" w:space="0" w:color="auto"/>
        <w:left w:val="none" w:sz="0" w:space="0" w:color="auto"/>
        <w:bottom w:val="none" w:sz="0" w:space="0" w:color="auto"/>
        <w:right w:val="none" w:sz="0" w:space="0" w:color="auto"/>
      </w:divBdr>
    </w:div>
    <w:div w:id="222298300">
      <w:bodyDiv w:val="1"/>
      <w:marLeft w:val="0"/>
      <w:marRight w:val="0"/>
      <w:marTop w:val="0"/>
      <w:marBottom w:val="0"/>
      <w:divBdr>
        <w:top w:val="none" w:sz="0" w:space="0" w:color="auto"/>
        <w:left w:val="none" w:sz="0" w:space="0" w:color="auto"/>
        <w:bottom w:val="none" w:sz="0" w:space="0" w:color="auto"/>
        <w:right w:val="none" w:sz="0" w:space="0" w:color="auto"/>
      </w:divBdr>
    </w:div>
    <w:div w:id="367336393">
      <w:bodyDiv w:val="1"/>
      <w:marLeft w:val="0"/>
      <w:marRight w:val="0"/>
      <w:marTop w:val="0"/>
      <w:marBottom w:val="0"/>
      <w:divBdr>
        <w:top w:val="none" w:sz="0" w:space="0" w:color="auto"/>
        <w:left w:val="none" w:sz="0" w:space="0" w:color="auto"/>
        <w:bottom w:val="none" w:sz="0" w:space="0" w:color="auto"/>
        <w:right w:val="none" w:sz="0" w:space="0" w:color="auto"/>
      </w:divBdr>
      <w:divsChild>
        <w:div w:id="2111512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26166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4297702">
      <w:bodyDiv w:val="1"/>
      <w:marLeft w:val="0"/>
      <w:marRight w:val="0"/>
      <w:marTop w:val="0"/>
      <w:marBottom w:val="0"/>
      <w:divBdr>
        <w:top w:val="none" w:sz="0" w:space="0" w:color="auto"/>
        <w:left w:val="none" w:sz="0" w:space="0" w:color="auto"/>
        <w:bottom w:val="none" w:sz="0" w:space="0" w:color="auto"/>
        <w:right w:val="none" w:sz="0" w:space="0" w:color="auto"/>
      </w:divBdr>
    </w:div>
    <w:div w:id="706418501">
      <w:bodyDiv w:val="1"/>
      <w:marLeft w:val="0"/>
      <w:marRight w:val="0"/>
      <w:marTop w:val="0"/>
      <w:marBottom w:val="0"/>
      <w:divBdr>
        <w:top w:val="none" w:sz="0" w:space="0" w:color="auto"/>
        <w:left w:val="none" w:sz="0" w:space="0" w:color="auto"/>
        <w:bottom w:val="none" w:sz="0" w:space="0" w:color="auto"/>
        <w:right w:val="none" w:sz="0" w:space="0" w:color="auto"/>
      </w:divBdr>
    </w:div>
    <w:div w:id="710031712">
      <w:bodyDiv w:val="1"/>
      <w:marLeft w:val="0"/>
      <w:marRight w:val="0"/>
      <w:marTop w:val="0"/>
      <w:marBottom w:val="0"/>
      <w:divBdr>
        <w:top w:val="none" w:sz="0" w:space="0" w:color="auto"/>
        <w:left w:val="none" w:sz="0" w:space="0" w:color="auto"/>
        <w:bottom w:val="none" w:sz="0" w:space="0" w:color="auto"/>
        <w:right w:val="none" w:sz="0" w:space="0" w:color="auto"/>
      </w:divBdr>
    </w:div>
    <w:div w:id="723332419">
      <w:bodyDiv w:val="1"/>
      <w:marLeft w:val="0"/>
      <w:marRight w:val="0"/>
      <w:marTop w:val="0"/>
      <w:marBottom w:val="0"/>
      <w:divBdr>
        <w:top w:val="none" w:sz="0" w:space="0" w:color="auto"/>
        <w:left w:val="none" w:sz="0" w:space="0" w:color="auto"/>
        <w:bottom w:val="none" w:sz="0" w:space="0" w:color="auto"/>
        <w:right w:val="none" w:sz="0" w:space="0" w:color="auto"/>
      </w:divBdr>
    </w:div>
    <w:div w:id="785541079">
      <w:bodyDiv w:val="1"/>
      <w:marLeft w:val="0"/>
      <w:marRight w:val="0"/>
      <w:marTop w:val="0"/>
      <w:marBottom w:val="0"/>
      <w:divBdr>
        <w:top w:val="none" w:sz="0" w:space="0" w:color="auto"/>
        <w:left w:val="none" w:sz="0" w:space="0" w:color="auto"/>
        <w:bottom w:val="none" w:sz="0" w:space="0" w:color="auto"/>
        <w:right w:val="none" w:sz="0" w:space="0" w:color="auto"/>
      </w:divBdr>
    </w:div>
    <w:div w:id="969936256">
      <w:bodyDiv w:val="1"/>
      <w:marLeft w:val="0"/>
      <w:marRight w:val="0"/>
      <w:marTop w:val="0"/>
      <w:marBottom w:val="0"/>
      <w:divBdr>
        <w:top w:val="none" w:sz="0" w:space="0" w:color="auto"/>
        <w:left w:val="none" w:sz="0" w:space="0" w:color="auto"/>
        <w:bottom w:val="none" w:sz="0" w:space="0" w:color="auto"/>
        <w:right w:val="none" w:sz="0" w:space="0" w:color="auto"/>
      </w:divBdr>
    </w:div>
    <w:div w:id="973635532">
      <w:bodyDiv w:val="1"/>
      <w:marLeft w:val="0"/>
      <w:marRight w:val="0"/>
      <w:marTop w:val="0"/>
      <w:marBottom w:val="0"/>
      <w:divBdr>
        <w:top w:val="none" w:sz="0" w:space="0" w:color="auto"/>
        <w:left w:val="none" w:sz="0" w:space="0" w:color="auto"/>
        <w:bottom w:val="none" w:sz="0" w:space="0" w:color="auto"/>
        <w:right w:val="none" w:sz="0" w:space="0" w:color="auto"/>
      </w:divBdr>
    </w:div>
    <w:div w:id="1012412800">
      <w:bodyDiv w:val="1"/>
      <w:marLeft w:val="0"/>
      <w:marRight w:val="0"/>
      <w:marTop w:val="0"/>
      <w:marBottom w:val="0"/>
      <w:divBdr>
        <w:top w:val="none" w:sz="0" w:space="0" w:color="auto"/>
        <w:left w:val="none" w:sz="0" w:space="0" w:color="auto"/>
        <w:bottom w:val="none" w:sz="0" w:space="0" w:color="auto"/>
        <w:right w:val="none" w:sz="0" w:space="0" w:color="auto"/>
      </w:divBdr>
    </w:div>
    <w:div w:id="1032463556">
      <w:bodyDiv w:val="1"/>
      <w:marLeft w:val="0"/>
      <w:marRight w:val="0"/>
      <w:marTop w:val="0"/>
      <w:marBottom w:val="0"/>
      <w:divBdr>
        <w:top w:val="none" w:sz="0" w:space="0" w:color="auto"/>
        <w:left w:val="none" w:sz="0" w:space="0" w:color="auto"/>
        <w:bottom w:val="none" w:sz="0" w:space="0" w:color="auto"/>
        <w:right w:val="none" w:sz="0" w:space="0" w:color="auto"/>
      </w:divBdr>
    </w:div>
    <w:div w:id="1049380038">
      <w:bodyDiv w:val="1"/>
      <w:marLeft w:val="0"/>
      <w:marRight w:val="0"/>
      <w:marTop w:val="0"/>
      <w:marBottom w:val="0"/>
      <w:divBdr>
        <w:top w:val="none" w:sz="0" w:space="0" w:color="auto"/>
        <w:left w:val="none" w:sz="0" w:space="0" w:color="auto"/>
        <w:bottom w:val="none" w:sz="0" w:space="0" w:color="auto"/>
        <w:right w:val="none" w:sz="0" w:space="0" w:color="auto"/>
      </w:divBdr>
      <w:divsChild>
        <w:div w:id="136960249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696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7465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6943264">
      <w:bodyDiv w:val="1"/>
      <w:marLeft w:val="0"/>
      <w:marRight w:val="0"/>
      <w:marTop w:val="0"/>
      <w:marBottom w:val="0"/>
      <w:divBdr>
        <w:top w:val="none" w:sz="0" w:space="0" w:color="auto"/>
        <w:left w:val="none" w:sz="0" w:space="0" w:color="auto"/>
        <w:bottom w:val="none" w:sz="0" w:space="0" w:color="auto"/>
        <w:right w:val="none" w:sz="0" w:space="0" w:color="auto"/>
      </w:divBdr>
    </w:div>
    <w:div w:id="1151101341">
      <w:bodyDiv w:val="1"/>
      <w:marLeft w:val="0"/>
      <w:marRight w:val="0"/>
      <w:marTop w:val="0"/>
      <w:marBottom w:val="0"/>
      <w:divBdr>
        <w:top w:val="none" w:sz="0" w:space="0" w:color="auto"/>
        <w:left w:val="none" w:sz="0" w:space="0" w:color="auto"/>
        <w:bottom w:val="none" w:sz="0" w:space="0" w:color="auto"/>
        <w:right w:val="none" w:sz="0" w:space="0" w:color="auto"/>
      </w:divBdr>
    </w:div>
    <w:div w:id="1312368731">
      <w:bodyDiv w:val="1"/>
      <w:marLeft w:val="0"/>
      <w:marRight w:val="0"/>
      <w:marTop w:val="0"/>
      <w:marBottom w:val="0"/>
      <w:divBdr>
        <w:top w:val="none" w:sz="0" w:space="0" w:color="auto"/>
        <w:left w:val="none" w:sz="0" w:space="0" w:color="auto"/>
        <w:bottom w:val="none" w:sz="0" w:space="0" w:color="auto"/>
        <w:right w:val="none" w:sz="0" w:space="0" w:color="auto"/>
      </w:divBdr>
    </w:div>
    <w:div w:id="1385326446">
      <w:bodyDiv w:val="1"/>
      <w:marLeft w:val="0"/>
      <w:marRight w:val="0"/>
      <w:marTop w:val="0"/>
      <w:marBottom w:val="0"/>
      <w:divBdr>
        <w:top w:val="none" w:sz="0" w:space="0" w:color="auto"/>
        <w:left w:val="none" w:sz="0" w:space="0" w:color="auto"/>
        <w:bottom w:val="none" w:sz="0" w:space="0" w:color="auto"/>
        <w:right w:val="none" w:sz="0" w:space="0" w:color="auto"/>
      </w:divBdr>
    </w:div>
    <w:div w:id="1388185206">
      <w:bodyDiv w:val="1"/>
      <w:marLeft w:val="0"/>
      <w:marRight w:val="0"/>
      <w:marTop w:val="0"/>
      <w:marBottom w:val="0"/>
      <w:divBdr>
        <w:top w:val="none" w:sz="0" w:space="0" w:color="auto"/>
        <w:left w:val="none" w:sz="0" w:space="0" w:color="auto"/>
        <w:bottom w:val="none" w:sz="0" w:space="0" w:color="auto"/>
        <w:right w:val="none" w:sz="0" w:space="0" w:color="auto"/>
      </w:divBdr>
    </w:div>
    <w:div w:id="1439257596">
      <w:bodyDiv w:val="1"/>
      <w:marLeft w:val="0"/>
      <w:marRight w:val="0"/>
      <w:marTop w:val="0"/>
      <w:marBottom w:val="0"/>
      <w:divBdr>
        <w:top w:val="none" w:sz="0" w:space="0" w:color="auto"/>
        <w:left w:val="none" w:sz="0" w:space="0" w:color="auto"/>
        <w:bottom w:val="none" w:sz="0" w:space="0" w:color="auto"/>
        <w:right w:val="none" w:sz="0" w:space="0" w:color="auto"/>
      </w:divBdr>
      <w:divsChild>
        <w:div w:id="1314485901">
          <w:blockQuote w:val="1"/>
          <w:marLeft w:val="720"/>
          <w:marRight w:val="720"/>
          <w:marTop w:val="100"/>
          <w:marBottom w:val="100"/>
          <w:divBdr>
            <w:top w:val="none" w:sz="0" w:space="0" w:color="auto"/>
            <w:left w:val="none" w:sz="0" w:space="0" w:color="auto"/>
            <w:bottom w:val="none" w:sz="0" w:space="0" w:color="auto"/>
            <w:right w:val="none" w:sz="0" w:space="0" w:color="auto"/>
          </w:divBdr>
        </w:div>
        <w:div w:id="4967745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6035132">
      <w:bodyDiv w:val="1"/>
      <w:marLeft w:val="0"/>
      <w:marRight w:val="0"/>
      <w:marTop w:val="0"/>
      <w:marBottom w:val="0"/>
      <w:divBdr>
        <w:top w:val="none" w:sz="0" w:space="0" w:color="auto"/>
        <w:left w:val="none" w:sz="0" w:space="0" w:color="auto"/>
        <w:bottom w:val="none" w:sz="0" w:space="0" w:color="auto"/>
        <w:right w:val="none" w:sz="0" w:space="0" w:color="auto"/>
      </w:divBdr>
    </w:div>
    <w:div w:id="1762288014">
      <w:bodyDiv w:val="1"/>
      <w:marLeft w:val="0"/>
      <w:marRight w:val="0"/>
      <w:marTop w:val="0"/>
      <w:marBottom w:val="0"/>
      <w:divBdr>
        <w:top w:val="none" w:sz="0" w:space="0" w:color="auto"/>
        <w:left w:val="none" w:sz="0" w:space="0" w:color="auto"/>
        <w:bottom w:val="none" w:sz="0" w:space="0" w:color="auto"/>
        <w:right w:val="none" w:sz="0" w:space="0" w:color="auto"/>
      </w:divBdr>
    </w:div>
    <w:div w:id="1825730611">
      <w:bodyDiv w:val="1"/>
      <w:marLeft w:val="0"/>
      <w:marRight w:val="0"/>
      <w:marTop w:val="0"/>
      <w:marBottom w:val="0"/>
      <w:divBdr>
        <w:top w:val="none" w:sz="0" w:space="0" w:color="auto"/>
        <w:left w:val="none" w:sz="0" w:space="0" w:color="auto"/>
        <w:bottom w:val="none" w:sz="0" w:space="0" w:color="auto"/>
        <w:right w:val="none" w:sz="0" w:space="0" w:color="auto"/>
      </w:divBdr>
      <w:divsChild>
        <w:div w:id="1696885260">
          <w:marLeft w:val="0"/>
          <w:marRight w:val="0"/>
          <w:marTop w:val="0"/>
          <w:marBottom w:val="0"/>
          <w:divBdr>
            <w:top w:val="none" w:sz="0" w:space="0" w:color="auto"/>
            <w:left w:val="none" w:sz="0" w:space="0" w:color="auto"/>
            <w:bottom w:val="none" w:sz="0" w:space="0" w:color="auto"/>
            <w:right w:val="none" w:sz="0" w:space="0" w:color="auto"/>
          </w:divBdr>
          <w:divsChild>
            <w:div w:id="147134265">
              <w:marLeft w:val="0"/>
              <w:marRight w:val="0"/>
              <w:marTop w:val="0"/>
              <w:marBottom w:val="0"/>
              <w:divBdr>
                <w:top w:val="none" w:sz="0" w:space="0" w:color="auto"/>
                <w:left w:val="none" w:sz="0" w:space="0" w:color="auto"/>
                <w:bottom w:val="none" w:sz="0" w:space="0" w:color="auto"/>
                <w:right w:val="none" w:sz="0" w:space="0" w:color="auto"/>
              </w:divBdr>
              <w:divsChild>
                <w:div w:id="292373254">
                  <w:marLeft w:val="0"/>
                  <w:marRight w:val="0"/>
                  <w:marTop w:val="0"/>
                  <w:marBottom w:val="0"/>
                  <w:divBdr>
                    <w:top w:val="none" w:sz="0" w:space="0" w:color="auto"/>
                    <w:left w:val="none" w:sz="0" w:space="0" w:color="auto"/>
                    <w:bottom w:val="none" w:sz="0" w:space="0" w:color="auto"/>
                    <w:right w:val="none" w:sz="0" w:space="0" w:color="auto"/>
                  </w:divBdr>
                  <w:divsChild>
                    <w:div w:id="1342702569">
                      <w:marLeft w:val="0"/>
                      <w:marRight w:val="0"/>
                      <w:marTop w:val="0"/>
                      <w:marBottom w:val="0"/>
                      <w:divBdr>
                        <w:top w:val="none" w:sz="0" w:space="0" w:color="auto"/>
                        <w:left w:val="none" w:sz="0" w:space="0" w:color="auto"/>
                        <w:bottom w:val="none" w:sz="0" w:space="0" w:color="auto"/>
                        <w:right w:val="none" w:sz="0" w:space="0" w:color="auto"/>
                      </w:divBdr>
                      <w:divsChild>
                        <w:div w:id="1196776043">
                          <w:marLeft w:val="0"/>
                          <w:marRight w:val="0"/>
                          <w:marTop w:val="0"/>
                          <w:marBottom w:val="0"/>
                          <w:divBdr>
                            <w:top w:val="none" w:sz="0" w:space="0" w:color="auto"/>
                            <w:left w:val="none" w:sz="0" w:space="0" w:color="auto"/>
                            <w:bottom w:val="none" w:sz="0" w:space="0" w:color="auto"/>
                            <w:right w:val="none" w:sz="0" w:space="0" w:color="auto"/>
                          </w:divBdr>
                          <w:divsChild>
                            <w:div w:id="30574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702370">
                  <w:marLeft w:val="0"/>
                  <w:marRight w:val="0"/>
                  <w:marTop w:val="0"/>
                  <w:marBottom w:val="0"/>
                  <w:divBdr>
                    <w:top w:val="none" w:sz="0" w:space="0" w:color="auto"/>
                    <w:left w:val="none" w:sz="0" w:space="0" w:color="auto"/>
                    <w:bottom w:val="none" w:sz="0" w:space="0" w:color="auto"/>
                    <w:right w:val="none" w:sz="0" w:space="0" w:color="auto"/>
                  </w:divBdr>
                  <w:divsChild>
                    <w:div w:id="1007444738">
                      <w:marLeft w:val="0"/>
                      <w:marRight w:val="0"/>
                      <w:marTop w:val="0"/>
                      <w:marBottom w:val="0"/>
                      <w:divBdr>
                        <w:top w:val="none" w:sz="0" w:space="0" w:color="auto"/>
                        <w:left w:val="none" w:sz="0" w:space="0" w:color="auto"/>
                        <w:bottom w:val="none" w:sz="0" w:space="0" w:color="auto"/>
                        <w:right w:val="none" w:sz="0" w:space="0" w:color="auto"/>
                      </w:divBdr>
                      <w:divsChild>
                        <w:div w:id="76253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6003829">
      <w:bodyDiv w:val="1"/>
      <w:marLeft w:val="0"/>
      <w:marRight w:val="0"/>
      <w:marTop w:val="0"/>
      <w:marBottom w:val="0"/>
      <w:divBdr>
        <w:top w:val="none" w:sz="0" w:space="0" w:color="auto"/>
        <w:left w:val="none" w:sz="0" w:space="0" w:color="auto"/>
        <w:bottom w:val="none" w:sz="0" w:space="0" w:color="auto"/>
        <w:right w:val="none" w:sz="0" w:space="0" w:color="auto"/>
      </w:divBdr>
    </w:div>
    <w:div w:id="213583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0336882231162868" TargetMode="External"/><Relationship Id="rId13" Type="http://schemas.openxmlformats.org/officeDocument/2006/relationships/hyperlink" Target="https://unesdoc.unesco.org/ark:/48223/pf0000386693" TargetMode="External"/><Relationship Id="rId3" Type="http://schemas.openxmlformats.org/officeDocument/2006/relationships/settings" Target="settings.xml"/><Relationship Id="rId7" Type="http://schemas.openxmlformats.org/officeDocument/2006/relationships/hyperlink" Target="https://doi.org/10.1111/jan.13031" TargetMode="External"/><Relationship Id="rId12" Type="http://schemas.openxmlformats.org/officeDocument/2006/relationships/hyperlink" Target="https://doi.org/10.1177/104973231561744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i.org/10.1080/2159676X.2019.1628806" TargetMode="External"/><Relationship Id="rId11" Type="http://schemas.openxmlformats.org/officeDocument/2006/relationships/hyperlink" Target="https://doi.org/10.1186/s40561-024-00342-5" TargetMode="External"/><Relationship Id="rId5" Type="http://schemas.openxmlformats.org/officeDocument/2006/relationships/hyperlink" Target="https://doi.org/10.1191/1478088706qp063oa" TargetMode="External"/><Relationship Id="rId15" Type="http://schemas.openxmlformats.org/officeDocument/2006/relationships/hyperlink" Target="https://doi.org/10.1111/j.1469-7610.1976.tb00381.x" TargetMode="External"/><Relationship Id="rId10" Type="http://schemas.openxmlformats.org/officeDocument/2006/relationships/hyperlink" Target="https://doi.org/10.1016/j.caeo.2024.100174" TargetMode="External"/><Relationship Id="rId4" Type="http://schemas.openxmlformats.org/officeDocument/2006/relationships/webSettings" Target="webSettings.xml"/><Relationship Id="rId9" Type="http://schemas.openxmlformats.org/officeDocument/2006/relationships/hyperlink" Target="https://doi.org/10.1016/j.caeai.2023.100156" TargetMode="External"/><Relationship Id="rId14" Type="http://schemas.openxmlformats.org/officeDocument/2006/relationships/hyperlink" Target="https://doi.org/10.1016/j.system.2024.1033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20</Pages>
  <Words>7253</Words>
  <Characters>41348</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dcterms:created xsi:type="dcterms:W3CDTF">2026-09-15T16:54:00Z</dcterms:created>
  <dcterms:modified xsi:type="dcterms:W3CDTF">2026-09-15T17:36:00Z</dcterms:modified>
</cp:coreProperties>
</file>